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C8" w:rsidRPr="001A1339" w:rsidRDefault="006B30C8" w:rsidP="0038708E">
      <w:pPr>
        <w:pStyle w:val="NoSpacing"/>
        <w:jc w:val="center"/>
        <w:rPr>
          <w:rFonts w:ascii="Times New Roman" w:hAnsi="Times New Roman" w:cs="Times New Roman"/>
          <w:b/>
          <w:color w:val="990033"/>
          <w:sz w:val="48"/>
          <w:szCs w:val="48"/>
        </w:rPr>
      </w:pPr>
      <w:r w:rsidRPr="001A1339">
        <w:rPr>
          <w:rFonts w:ascii="Times New Roman" w:hAnsi="Times New Roman" w:cs="Times New Roman"/>
          <w:b/>
          <w:color w:val="990033"/>
          <w:sz w:val="48"/>
          <w:szCs w:val="48"/>
        </w:rPr>
        <w:t>GAAS Insight No.12011</w:t>
      </w:r>
    </w:p>
    <w:p w:rsidR="006B30C8" w:rsidRPr="004F563B" w:rsidRDefault="006B30C8" w:rsidP="0038708E">
      <w:pPr>
        <w:pStyle w:val="NoSpacing"/>
        <w:jc w:val="center"/>
        <w:rPr>
          <w:rFonts w:ascii="Times New Roman" w:hAnsi="Times New Roman" w:cs="Times New Roman"/>
          <w:b/>
          <w:color w:val="990033"/>
        </w:rPr>
      </w:pPr>
    </w:p>
    <w:p w:rsidR="004F563B" w:rsidRPr="004F563B" w:rsidRDefault="004F563B" w:rsidP="004F563B">
      <w:pPr>
        <w:pStyle w:val="NoSpacing"/>
        <w:rPr>
          <w:rFonts w:ascii="Times New Roman" w:hAnsi="Times New Roman" w:cs="Times New Roman"/>
          <w:b/>
          <w:color w:val="990033"/>
        </w:rPr>
      </w:pPr>
      <w:r w:rsidRPr="004F563B">
        <w:rPr>
          <w:rFonts w:ascii="Times New Roman" w:hAnsi="Times New Roman" w:cs="Times New Roman"/>
          <w:b/>
          <w:color w:val="990033"/>
        </w:rPr>
        <w:t>May 2011</w:t>
      </w:r>
    </w:p>
    <w:p w:rsidR="004F563B" w:rsidRPr="004F563B" w:rsidRDefault="004F563B" w:rsidP="004F563B">
      <w:pPr>
        <w:pStyle w:val="NoSpacing"/>
        <w:rPr>
          <w:rFonts w:ascii="Times New Roman" w:hAnsi="Times New Roman" w:cs="Times New Roman"/>
          <w:b/>
          <w:color w:val="990033"/>
        </w:rPr>
      </w:pPr>
    </w:p>
    <w:p w:rsidR="000D5F7B" w:rsidRPr="001A1339" w:rsidRDefault="000D5F7B" w:rsidP="0038708E">
      <w:pPr>
        <w:pStyle w:val="NoSpacing"/>
        <w:jc w:val="center"/>
        <w:rPr>
          <w:rFonts w:ascii="Times New Roman" w:hAnsi="Times New Roman" w:cs="Times New Roman"/>
          <w:b/>
          <w:color w:val="990033"/>
          <w:sz w:val="32"/>
          <w:szCs w:val="32"/>
        </w:rPr>
      </w:pPr>
      <w:r w:rsidRPr="001A1339">
        <w:rPr>
          <w:rFonts w:ascii="Times New Roman" w:hAnsi="Times New Roman" w:cs="Times New Roman"/>
          <w:b/>
          <w:color w:val="990033"/>
          <w:sz w:val="32"/>
          <w:szCs w:val="32"/>
        </w:rPr>
        <w:t>Auditing Fundraising Revenue of Not-for-Profit Entities</w:t>
      </w:r>
    </w:p>
    <w:p w:rsidR="00E11755" w:rsidRPr="00E11755" w:rsidRDefault="00E11755" w:rsidP="0038708E">
      <w:pPr>
        <w:pStyle w:val="NoSpacing"/>
        <w:jc w:val="center"/>
        <w:rPr>
          <w:rFonts w:ascii="Times New Roman" w:hAnsi="Times New Roman" w:cs="Times New Roman"/>
          <w:color w:val="990033"/>
        </w:rPr>
      </w:pPr>
      <w:r w:rsidRPr="00E11755">
        <w:rPr>
          <w:rFonts w:ascii="Times New Roman" w:hAnsi="Times New Roman" w:cs="Times New Roman"/>
          <w:color w:val="990033"/>
        </w:rPr>
        <w:t>By</w:t>
      </w:r>
    </w:p>
    <w:p w:rsidR="00E11755" w:rsidRDefault="00E11755" w:rsidP="0038708E">
      <w:pPr>
        <w:pStyle w:val="NoSpacing"/>
        <w:jc w:val="center"/>
        <w:rPr>
          <w:rFonts w:ascii="Times New Roman" w:hAnsi="Times New Roman" w:cs="Times New Roman"/>
          <w:color w:val="990033"/>
        </w:rPr>
      </w:pPr>
      <w:r w:rsidRPr="00E11755">
        <w:rPr>
          <w:rFonts w:ascii="Times New Roman" w:hAnsi="Times New Roman" w:cs="Times New Roman"/>
          <w:color w:val="990033"/>
        </w:rPr>
        <w:t>Michael Ca</w:t>
      </w:r>
      <w:r w:rsidR="005720FF">
        <w:rPr>
          <w:rFonts w:ascii="Times New Roman" w:hAnsi="Times New Roman" w:cs="Times New Roman"/>
          <w:color w:val="990033"/>
        </w:rPr>
        <w:t>i</w:t>
      </w:r>
      <w:r w:rsidRPr="00E11755">
        <w:rPr>
          <w:rFonts w:ascii="Times New Roman" w:hAnsi="Times New Roman" w:cs="Times New Roman"/>
          <w:color w:val="990033"/>
        </w:rPr>
        <w:t xml:space="preserve">n </w:t>
      </w:r>
      <w:r>
        <w:rPr>
          <w:rFonts w:ascii="Times New Roman" w:hAnsi="Times New Roman" w:cs="Times New Roman"/>
          <w:color w:val="990033"/>
        </w:rPr>
        <w:t xml:space="preserve">FCA </w:t>
      </w:r>
      <w:r w:rsidRPr="00E11755">
        <w:rPr>
          <w:rFonts w:ascii="Times New Roman" w:hAnsi="Times New Roman" w:cs="Times New Roman"/>
          <w:color w:val="990033"/>
        </w:rPr>
        <w:t>and Colin Parker</w:t>
      </w:r>
      <w:r>
        <w:rPr>
          <w:rFonts w:ascii="Times New Roman" w:hAnsi="Times New Roman" w:cs="Times New Roman"/>
          <w:color w:val="990033"/>
        </w:rPr>
        <w:t xml:space="preserve"> FCA</w:t>
      </w:r>
    </w:p>
    <w:p w:rsidR="00E11755" w:rsidRPr="00E11755" w:rsidRDefault="00E11755" w:rsidP="0038708E">
      <w:pPr>
        <w:pStyle w:val="NoSpacing"/>
        <w:jc w:val="center"/>
        <w:rPr>
          <w:rFonts w:ascii="Times New Roman" w:hAnsi="Times New Roman" w:cs="Times New Roman"/>
          <w:color w:val="990033"/>
        </w:rPr>
      </w:pPr>
      <w:r>
        <w:rPr>
          <w:rFonts w:ascii="Times New Roman" w:hAnsi="Times New Roman" w:cs="Times New Roman"/>
          <w:color w:val="990033"/>
        </w:rPr>
        <w:t>GAAP Consulting</w:t>
      </w:r>
      <w:r w:rsidR="00486DAE">
        <w:rPr>
          <w:rFonts w:ascii="Times New Roman" w:hAnsi="Times New Roman" w:cs="Times New Roman"/>
          <w:color w:val="990033"/>
        </w:rPr>
        <w:t xml:space="preserve"> (www.gaap.com.au)</w:t>
      </w:r>
    </w:p>
    <w:p w:rsidR="000D5F7B" w:rsidRDefault="000D5F7B" w:rsidP="00481C4C">
      <w:pPr>
        <w:pStyle w:val="NoSpacing"/>
        <w:rPr>
          <w:rFonts w:ascii="Times New Roman" w:hAnsi="Times New Roman" w:cs="Times New Roman"/>
        </w:rPr>
      </w:pPr>
    </w:p>
    <w:p w:rsidR="006B30C8" w:rsidRPr="00481C4C" w:rsidRDefault="006B30C8" w:rsidP="00481C4C">
      <w:pPr>
        <w:pStyle w:val="NoSpacing"/>
        <w:rPr>
          <w:rFonts w:ascii="Times New Roman" w:hAnsi="Times New Roman" w:cs="Times New Roman"/>
        </w:rPr>
      </w:pPr>
    </w:p>
    <w:p w:rsidR="000D5F7B" w:rsidRPr="00486DAE" w:rsidRDefault="000D5F7B" w:rsidP="00481C4C">
      <w:pPr>
        <w:pStyle w:val="NoSpacing"/>
        <w:rPr>
          <w:rFonts w:ascii="Times New Roman" w:hAnsi="Times New Roman" w:cs="Times New Roman"/>
          <w:b/>
          <w:color w:val="990033"/>
          <w:sz w:val="24"/>
          <w:szCs w:val="24"/>
        </w:rPr>
      </w:pPr>
      <w:r w:rsidRPr="00486DAE">
        <w:rPr>
          <w:rFonts w:ascii="Times New Roman" w:hAnsi="Times New Roman" w:cs="Times New Roman"/>
          <w:b/>
          <w:color w:val="990033"/>
          <w:sz w:val="24"/>
          <w:szCs w:val="24"/>
        </w:rPr>
        <w:t>Executive Summary</w:t>
      </w:r>
    </w:p>
    <w:p w:rsidR="000D5F7B" w:rsidRPr="00481C4C" w:rsidRDefault="000D5F7B" w:rsidP="00481C4C">
      <w:pPr>
        <w:pStyle w:val="NoSpacing"/>
        <w:rPr>
          <w:rFonts w:ascii="Times New Roman" w:hAnsi="Times New Roman" w:cs="Times New Roman"/>
        </w:rPr>
      </w:pPr>
    </w:p>
    <w:p w:rsidR="004F563B" w:rsidRDefault="00B560DE" w:rsidP="00B560DE">
      <w:pPr>
        <w:pStyle w:val="Default"/>
        <w:numPr>
          <w:ilvl w:val="0"/>
          <w:numId w:val="21"/>
        </w:numPr>
        <w:rPr>
          <w:sz w:val="22"/>
          <w:szCs w:val="22"/>
        </w:rPr>
      </w:pPr>
      <w:r w:rsidRPr="00481C4C">
        <w:rPr>
          <w:bCs/>
          <w:sz w:val="22"/>
          <w:szCs w:val="22"/>
        </w:rPr>
        <w:t>Guidance Statement GS 019 ‘</w:t>
      </w:r>
      <w:r w:rsidRPr="00481C4C">
        <w:rPr>
          <w:bCs/>
          <w:iCs/>
          <w:sz w:val="22"/>
          <w:szCs w:val="22"/>
        </w:rPr>
        <w:t>Auditing Fundraising Revenue of Not-for- Profit Entities’</w:t>
      </w:r>
      <w:r w:rsidRPr="00481C4C">
        <w:rPr>
          <w:sz w:val="22"/>
          <w:szCs w:val="22"/>
        </w:rPr>
        <w:t xml:space="preserve"> (April 2011) provides guidance to auditors on the </w:t>
      </w:r>
      <w:r w:rsidRPr="00E71BE7">
        <w:rPr>
          <w:i/>
          <w:sz w:val="22"/>
          <w:szCs w:val="22"/>
        </w:rPr>
        <w:t>factors to consider</w:t>
      </w:r>
      <w:r w:rsidRPr="00481C4C">
        <w:rPr>
          <w:sz w:val="22"/>
          <w:szCs w:val="22"/>
        </w:rPr>
        <w:t xml:space="preserve"> when planning, performing and reporting on the </w:t>
      </w:r>
      <w:r w:rsidRPr="00B560DE">
        <w:rPr>
          <w:i/>
          <w:sz w:val="22"/>
          <w:szCs w:val="22"/>
        </w:rPr>
        <w:t>completeness of fundraising revenue</w:t>
      </w:r>
      <w:r w:rsidR="001705D4">
        <w:rPr>
          <w:i/>
          <w:sz w:val="22"/>
          <w:szCs w:val="22"/>
        </w:rPr>
        <w:t>, in particular, cash donations</w:t>
      </w:r>
      <w:r w:rsidRPr="00481C4C">
        <w:rPr>
          <w:sz w:val="22"/>
          <w:szCs w:val="22"/>
        </w:rPr>
        <w:t xml:space="preserve"> for not-for-profit entities (NFPs).  It replaces </w:t>
      </w:r>
      <w:r>
        <w:rPr>
          <w:sz w:val="22"/>
          <w:szCs w:val="22"/>
        </w:rPr>
        <w:t xml:space="preserve">AGS </w:t>
      </w:r>
      <w:r w:rsidRPr="00481C4C">
        <w:rPr>
          <w:sz w:val="22"/>
          <w:szCs w:val="22"/>
        </w:rPr>
        <w:t>1054 ‘</w:t>
      </w:r>
      <w:r w:rsidRPr="00481C4C">
        <w:rPr>
          <w:iCs/>
          <w:sz w:val="22"/>
          <w:szCs w:val="22"/>
        </w:rPr>
        <w:t>Auditing Revenue of Charitable Entities’</w:t>
      </w:r>
      <w:r w:rsidRPr="00481C4C">
        <w:rPr>
          <w:sz w:val="22"/>
          <w:szCs w:val="22"/>
        </w:rPr>
        <w:t xml:space="preserve"> (July 2002)</w:t>
      </w:r>
    </w:p>
    <w:p w:rsidR="00B560DE" w:rsidRDefault="00B560DE" w:rsidP="004F563B">
      <w:pPr>
        <w:pStyle w:val="Default"/>
        <w:rPr>
          <w:sz w:val="22"/>
          <w:szCs w:val="22"/>
        </w:rPr>
      </w:pPr>
    </w:p>
    <w:p w:rsidR="000D5F7B" w:rsidRDefault="000D5F7B" w:rsidP="00B25D8D">
      <w:pPr>
        <w:pStyle w:val="NoSpacing"/>
        <w:numPr>
          <w:ilvl w:val="0"/>
          <w:numId w:val="21"/>
        </w:numPr>
        <w:rPr>
          <w:rFonts w:ascii="Times New Roman" w:hAnsi="Times New Roman" w:cs="Times New Roman"/>
        </w:rPr>
      </w:pPr>
      <w:r w:rsidRPr="00481C4C">
        <w:rPr>
          <w:rFonts w:ascii="Times New Roman" w:hAnsi="Times New Roman" w:cs="Times New Roman"/>
        </w:rPr>
        <w:t xml:space="preserve">A significant issue in the audit of a not-for-profit entity </w:t>
      </w:r>
      <w:r w:rsidR="00F2056D">
        <w:rPr>
          <w:rFonts w:ascii="Times New Roman" w:hAnsi="Times New Roman" w:cs="Times New Roman"/>
        </w:rPr>
        <w:t>(NFP</w:t>
      </w:r>
      <w:r w:rsidR="001A1339">
        <w:rPr>
          <w:rFonts w:ascii="Times New Roman" w:hAnsi="Times New Roman" w:cs="Times New Roman"/>
        </w:rPr>
        <w:t>)</w:t>
      </w:r>
      <w:r w:rsidR="001A1339" w:rsidRPr="00481C4C">
        <w:rPr>
          <w:rFonts w:ascii="Times New Roman" w:hAnsi="Times New Roman" w:cs="Times New Roman"/>
        </w:rPr>
        <w:t xml:space="preserve"> is</w:t>
      </w:r>
      <w:r w:rsidRPr="00481C4C">
        <w:rPr>
          <w:rFonts w:ascii="Times New Roman" w:hAnsi="Times New Roman" w:cs="Times New Roman"/>
        </w:rPr>
        <w:t xml:space="preserve"> forming a conclusion and reporting on the completeness assertion in relation to fundraising revenue from sources such as</w:t>
      </w:r>
      <w:r w:rsidR="001B58D5">
        <w:rPr>
          <w:rFonts w:ascii="Times New Roman" w:hAnsi="Times New Roman" w:cs="Times New Roman"/>
        </w:rPr>
        <w:t>,</w:t>
      </w:r>
      <w:r w:rsidRPr="00481C4C">
        <w:rPr>
          <w:rFonts w:ascii="Times New Roman" w:hAnsi="Times New Roman" w:cs="Times New Roman"/>
        </w:rPr>
        <w:t xml:space="preserve"> cash donations, appeals, raffles and other fundraising activities.</w:t>
      </w:r>
    </w:p>
    <w:p w:rsidR="004F563B" w:rsidRPr="00481C4C" w:rsidRDefault="004F563B" w:rsidP="004F563B">
      <w:pPr>
        <w:pStyle w:val="NoSpacing"/>
        <w:rPr>
          <w:rFonts w:ascii="Times New Roman" w:hAnsi="Times New Roman" w:cs="Times New Roman"/>
        </w:rPr>
      </w:pPr>
    </w:p>
    <w:p w:rsidR="00695C45" w:rsidRPr="00695C45" w:rsidRDefault="00695C45" w:rsidP="00B560DE">
      <w:pPr>
        <w:pStyle w:val="NoSpacing"/>
        <w:numPr>
          <w:ilvl w:val="0"/>
          <w:numId w:val="21"/>
        </w:numPr>
        <w:rPr>
          <w:rFonts w:ascii="Times New Roman" w:hAnsi="Times New Roman" w:cs="Times New Roman"/>
        </w:rPr>
      </w:pPr>
      <w:r w:rsidRPr="00E71BE7">
        <w:rPr>
          <w:rFonts w:ascii="Times New Roman" w:hAnsi="Times New Roman" w:cs="Times New Roman"/>
        </w:rPr>
        <w:t>The major changes from AGS 1054 ‘</w:t>
      </w:r>
      <w:r w:rsidRPr="00E71BE7">
        <w:rPr>
          <w:rFonts w:ascii="Times New Roman" w:hAnsi="Times New Roman" w:cs="Times New Roman"/>
          <w:iCs/>
        </w:rPr>
        <w:t xml:space="preserve">Auditing Revenue of Charitable Entities’ to </w:t>
      </w:r>
      <w:r w:rsidRPr="00E71BE7">
        <w:rPr>
          <w:rFonts w:ascii="Times New Roman" w:hAnsi="Times New Roman" w:cs="Times New Roman"/>
          <w:bCs/>
        </w:rPr>
        <w:t>GS 019 ‘</w:t>
      </w:r>
      <w:r w:rsidRPr="00E71BE7">
        <w:rPr>
          <w:rFonts w:ascii="Times New Roman" w:hAnsi="Times New Roman" w:cs="Times New Roman"/>
          <w:bCs/>
          <w:iCs/>
        </w:rPr>
        <w:t xml:space="preserve">Auditing Fundraising Revenue of Not-for- Profit Entities’ </w:t>
      </w:r>
      <w:r>
        <w:rPr>
          <w:rFonts w:ascii="Times New Roman" w:hAnsi="Times New Roman" w:cs="Times New Roman"/>
          <w:bCs/>
          <w:iCs/>
        </w:rPr>
        <w:t>are the incorporation of risk-based audit methodology, fraud standard, updated audit reporting requirements, and reflection of the Clarity Auditing Standards</w:t>
      </w:r>
      <w:r w:rsidR="00F2056D">
        <w:rPr>
          <w:rFonts w:ascii="Times New Roman" w:hAnsi="Times New Roman" w:cs="Times New Roman"/>
          <w:bCs/>
          <w:iCs/>
        </w:rPr>
        <w:t xml:space="preserve"> requirements</w:t>
      </w:r>
      <w:r>
        <w:rPr>
          <w:rFonts w:ascii="Times New Roman" w:hAnsi="Times New Roman" w:cs="Times New Roman"/>
          <w:bCs/>
          <w:iCs/>
        </w:rPr>
        <w:t>.</w:t>
      </w:r>
    </w:p>
    <w:p w:rsidR="00695C45" w:rsidRDefault="00695C45" w:rsidP="00695C45">
      <w:pPr>
        <w:pStyle w:val="NoSpacing"/>
        <w:rPr>
          <w:rFonts w:ascii="Times New Roman" w:hAnsi="Times New Roman" w:cs="Times New Roman"/>
          <w:bCs/>
          <w:iCs/>
        </w:rPr>
      </w:pPr>
    </w:p>
    <w:p w:rsidR="001B58D5" w:rsidRPr="001B58D5" w:rsidRDefault="00695C45" w:rsidP="001B58D5">
      <w:pPr>
        <w:pStyle w:val="NoSpacing"/>
        <w:numPr>
          <w:ilvl w:val="0"/>
          <w:numId w:val="21"/>
        </w:numPr>
        <w:rPr>
          <w:rFonts w:ascii="Times New Roman" w:hAnsi="Times New Roman" w:cs="Times New Roman"/>
        </w:rPr>
      </w:pPr>
      <w:r w:rsidRPr="001B58D5">
        <w:rPr>
          <w:rFonts w:ascii="Times New Roman" w:hAnsi="Times New Roman" w:cs="Times New Roman"/>
        </w:rPr>
        <w:t xml:space="preserve">The characteristics of the </w:t>
      </w:r>
      <w:r w:rsidR="00F2056D" w:rsidRPr="001B58D5">
        <w:rPr>
          <w:rFonts w:ascii="Times New Roman" w:hAnsi="Times New Roman" w:cs="Times New Roman"/>
        </w:rPr>
        <w:t xml:space="preserve">NFP </w:t>
      </w:r>
      <w:r w:rsidRPr="001B58D5">
        <w:rPr>
          <w:rFonts w:ascii="Times New Roman" w:hAnsi="Times New Roman" w:cs="Times New Roman"/>
        </w:rPr>
        <w:t>environment and fundraising revenue are described</w:t>
      </w:r>
      <w:r w:rsidR="00F2056D" w:rsidRPr="001B58D5">
        <w:rPr>
          <w:rFonts w:ascii="Times New Roman" w:hAnsi="Times New Roman" w:cs="Times New Roman"/>
        </w:rPr>
        <w:t>,</w:t>
      </w:r>
      <w:r w:rsidRPr="001B58D5">
        <w:rPr>
          <w:rFonts w:ascii="Times New Roman" w:hAnsi="Times New Roman" w:cs="Times New Roman"/>
        </w:rPr>
        <w:t xml:space="preserve"> as well as</w:t>
      </w:r>
      <w:r w:rsidR="00F2056D" w:rsidRPr="001B58D5">
        <w:rPr>
          <w:rFonts w:ascii="Times New Roman" w:hAnsi="Times New Roman" w:cs="Times New Roman"/>
        </w:rPr>
        <w:t>,</w:t>
      </w:r>
      <w:r w:rsidRPr="001B58D5">
        <w:rPr>
          <w:rFonts w:ascii="Times New Roman" w:hAnsi="Times New Roman" w:cs="Times New Roman"/>
        </w:rPr>
        <w:t xml:space="preserve"> associated risks.  Example</w:t>
      </w:r>
      <w:r w:rsidR="00B560DE" w:rsidRPr="001B58D5">
        <w:rPr>
          <w:rFonts w:ascii="Times New Roman" w:hAnsi="Times New Roman" w:cs="Times New Roman"/>
        </w:rPr>
        <w:t>s</w:t>
      </w:r>
      <w:r w:rsidRPr="001B58D5">
        <w:rPr>
          <w:rFonts w:ascii="Times New Roman" w:hAnsi="Times New Roman" w:cs="Times New Roman"/>
        </w:rPr>
        <w:t xml:space="preserve"> are provided of internal controls that </w:t>
      </w:r>
      <w:r w:rsidR="00B560DE" w:rsidRPr="001B58D5">
        <w:rPr>
          <w:rFonts w:ascii="Times New Roman" w:hAnsi="Times New Roman" w:cs="Times New Roman"/>
        </w:rPr>
        <w:t>may help mitigate those risks</w:t>
      </w:r>
      <w:r w:rsidR="001B58D5">
        <w:rPr>
          <w:rFonts w:ascii="Times New Roman" w:hAnsi="Times New Roman" w:cs="Times New Roman"/>
        </w:rPr>
        <w:t xml:space="preserve"> and i</w:t>
      </w:r>
      <w:r w:rsidR="00B560DE" w:rsidRPr="001B58D5">
        <w:rPr>
          <w:rFonts w:ascii="Times New Roman" w:hAnsi="Times New Roman" w:cs="Times New Roman"/>
        </w:rPr>
        <w:t>ndicative audit procedures are described for fundraising revenue</w:t>
      </w:r>
      <w:r w:rsidR="001B58D5">
        <w:rPr>
          <w:rFonts w:ascii="Times New Roman" w:hAnsi="Times New Roman" w:cs="Times New Roman"/>
        </w:rPr>
        <w:t xml:space="preserve"> (see </w:t>
      </w:r>
      <w:r w:rsidR="001B58D5" w:rsidRPr="001B58D5">
        <w:rPr>
          <w:rFonts w:ascii="Times New Roman" w:hAnsi="Times New Roman" w:cs="Times New Roman"/>
        </w:rPr>
        <w:t>Appendix 1: Fundraising and Possible Internal Controls Appendix 2: Indicative Audit Procedures</w:t>
      </w:r>
      <w:r w:rsidR="001B58D5">
        <w:rPr>
          <w:rFonts w:ascii="Times New Roman" w:hAnsi="Times New Roman" w:cs="Times New Roman"/>
        </w:rPr>
        <w:t>).</w:t>
      </w:r>
    </w:p>
    <w:p w:rsidR="00B560DE" w:rsidRPr="001B58D5" w:rsidRDefault="00B560DE" w:rsidP="001B58D5">
      <w:pPr>
        <w:pStyle w:val="NoSpacing"/>
        <w:rPr>
          <w:rFonts w:ascii="Times New Roman" w:hAnsi="Times New Roman" w:cs="Times New Roman"/>
        </w:rPr>
      </w:pPr>
    </w:p>
    <w:p w:rsidR="00B560DE" w:rsidRPr="00E71BE7" w:rsidRDefault="00B560DE" w:rsidP="00B560DE">
      <w:pPr>
        <w:pStyle w:val="NoSpacing"/>
        <w:numPr>
          <w:ilvl w:val="0"/>
          <w:numId w:val="21"/>
        </w:numPr>
        <w:rPr>
          <w:rFonts w:ascii="Times New Roman" w:hAnsi="Times New Roman" w:cs="Times New Roman"/>
        </w:rPr>
      </w:pPr>
      <w:r>
        <w:rPr>
          <w:rFonts w:ascii="Times New Roman" w:hAnsi="Times New Roman" w:cs="Times New Roman"/>
        </w:rPr>
        <w:t>Example audit opinions are provided for an unmodified opinion, emphasis of matter, and modifications to the audit opinion</w:t>
      </w:r>
      <w:r w:rsidR="00F2056D">
        <w:rPr>
          <w:rFonts w:ascii="Times New Roman" w:hAnsi="Times New Roman" w:cs="Times New Roman"/>
        </w:rPr>
        <w:t>.</w:t>
      </w:r>
      <w:r w:rsidR="00ED3A0B">
        <w:rPr>
          <w:rFonts w:ascii="Times New Roman" w:hAnsi="Times New Roman" w:cs="Times New Roman"/>
        </w:rPr>
        <w:t xml:space="preserve">  The superseded guidance referred to scope limitation and in that context ‘except for’ and ‘inability to form an opinion’.</w:t>
      </w:r>
    </w:p>
    <w:p w:rsidR="00695C45" w:rsidRPr="00481C4C" w:rsidRDefault="00695C45" w:rsidP="00481C4C">
      <w:pPr>
        <w:pStyle w:val="NoSpacing"/>
        <w:rPr>
          <w:rFonts w:ascii="Times New Roman" w:hAnsi="Times New Roman" w:cs="Times New Roman"/>
        </w:rPr>
      </w:pPr>
    </w:p>
    <w:p w:rsidR="00751FD2" w:rsidRDefault="00751FD2" w:rsidP="00B25D8D">
      <w:pPr>
        <w:pStyle w:val="NoSpacing"/>
        <w:numPr>
          <w:ilvl w:val="0"/>
          <w:numId w:val="21"/>
        </w:numPr>
        <w:rPr>
          <w:rFonts w:ascii="Times New Roman" w:hAnsi="Times New Roman" w:cs="Times New Roman"/>
        </w:rPr>
      </w:pPr>
      <w:r w:rsidRPr="00481C4C">
        <w:rPr>
          <w:rFonts w:ascii="Times New Roman" w:hAnsi="Times New Roman" w:cs="Times New Roman"/>
        </w:rPr>
        <w:t xml:space="preserve">The </w:t>
      </w:r>
      <w:r w:rsidR="00695C45">
        <w:rPr>
          <w:rFonts w:ascii="Times New Roman" w:hAnsi="Times New Roman" w:cs="Times New Roman"/>
        </w:rPr>
        <w:t xml:space="preserve">source of fundraising revenue </w:t>
      </w:r>
      <w:r w:rsidR="00F2056D">
        <w:rPr>
          <w:rFonts w:ascii="Times New Roman" w:hAnsi="Times New Roman" w:cs="Times New Roman"/>
        </w:rPr>
        <w:t xml:space="preserve">does </w:t>
      </w:r>
      <w:r w:rsidRPr="00481C4C">
        <w:rPr>
          <w:rFonts w:ascii="Times New Roman" w:hAnsi="Times New Roman" w:cs="Times New Roman"/>
        </w:rPr>
        <w:t xml:space="preserve">not automatically result in a </w:t>
      </w:r>
      <w:r w:rsidR="00695C45">
        <w:rPr>
          <w:rFonts w:ascii="Times New Roman" w:hAnsi="Times New Roman" w:cs="Times New Roman"/>
        </w:rPr>
        <w:t xml:space="preserve">modified </w:t>
      </w:r>
      <w:r w:rsidRPr="00481C4C">
        <w:rPr>
          <w:rFonts w:ascii="Times New Roman" w:hAnsi="Times New Roman" w:cs="Times New Roman"/>
        </w:rPr>
        <w:t xml:space="preserve">opinion.  Issues of materiality and risk mitigation need to </w:t>
      </w:r>
      <w:r w:rsidR="00F2056D">
        <w:rPr>
          <w:rFonts w:ascii="Times New Roman" w:hAnsi="Times New Roman" w:cs="Times New Roman"/>
        </w:rPr>
        <w:t xml:space="preserve">be </w:t>
      </w:r>
      <w:r w:rsidRPr="00481C4C">
        <w:rPr>
          <w:rFonts w:ascii="Times New Roman" w:hAnsi="Times New Roman" w:cs="Times New Roman"/>
        </w:rPr>
        <w:t>considered.</w:t>
      </w:r>
    </w:p>
    <w:p w:rsidR="00486DAE" w:rsidRDefault="00486DAE" w:rsidP="00486DAE">
      <w:pPr>
        <w:pStyle w:val="NoSpacing"/>
        <w:rPr>
          <w:rFonts w:ascii="Times New Roman" w:hAnsi="Times New Roman" w:cs="Times New Roman"/>
        </w:rPr>
      </w:pPr>
    </w:p>
    <w:p w:rsidR="00486DAE" w:rsidRPr="001705D4" w:rsidRDefault="00486DAE" w:rsidP="001705D4">
      <w:pPr>
        <w:pStyle w:val="Default"/>
        <w:numPr>
          <w:ilvl w:val="0"/>
          <w:numId w:val="21"/>
        </w:numPr>
        <w:rPr>
          <w:sz w:val="22"/>
          <w:szCs w:val="22"/>
        </w:rPr>
      </w:pPr>
      <w:r w:rsidRPr="00481C4C">
        <w:rPr>
          <w:bCs/>
          <w:sz w:val="22"/>
          <w:szCs w:val="22"/>
        </w:rPr>
        <w:t>GS 019 ‘</w:t>
      </w:r>
      <w:r w:rsidRPr="00481C4C">
        <w:rPr>
          <w:bCs/>
          <w:iCs/>
          <w:sz w:val="22"/>
          <w:szCs w:val="22"/>
        </w:rPr>
        <w:t>Auditing Fundraising Revenue of Not-for- Profit Entities’</w:t>
      </w:r>
      <w:r>
        <w:rPr>
          <w:bCs/>
          <w:iCs/>
          <w:sz w:val="22"/>
          <w:szCs w:val="22"/>
        </w:rPr>
        <w:t xml:space="preserve"> provides the opportunity for auditors to benchmark their existing approach to individual NFP audit and review engagements.</w:t>
      </w:r>
    </w:p>
    <w:p w:rsidR="001705D4" w:rsidRDefault="001705D4" w:rsidP="001705D4">
      <w:pPr>
        <w:pStyle w:val="Default"/>
        <w:rPr>
          <w:bCs/>
          <w:iCs/>
          <w:sz w:val="22"/>
          <w:szCs w:val="22"/>
        </w:rPr>
      </w:pPr>
    </w:p>
    <w:p w:rsidR="001705D4" w:rsidRDefault="001705D4" w:rsidP="001705D4">
      <w:pPr>
        <w:pStyle w:val="Default"/>
        <w:numPr>
          <w:ilvl w:val="0"/>
          <w:numId w:val="21"/>
        </w:numPr>
        <w:rPr>
          <w:sz w:val="22"/>
          <w:szCs w:val="22"/>
        </w:rPr>
      </w:pPr>
      <w:r>
        <w:rPr>
          <w:bCs/>
          <w:iCs/>
          <w:sz w:val="22"/>
          <w:szCs w:val="22"/>
        </w:rPr>
        <w:t xml:space="preserve">As guidance GS </w:t>
      </w:r>
      <w:r w:rsidRPr="00481C4C">
        <w:rPr>
          <w:bCs/>
          <w:sz w:val="22"/>
          <w:szCs w:val="22"/>
        </w:rPr>
        <w:t>019 ‘</w:t>
      </w:r>
      <w:r w:rsidRPr="00481C4C">
        <w:rPr>
          <w:bCs/>
          <w:iCs/>
          <w:sz w:val="22"/>
          <w:szCs w:val="22"/>
        </w:rPr>
        <w:t>Auditing Fundraising Revenue of Not-for- Profit Entities’</w:t>
      </w:r>
      <w:r>
        <w:rPr>
          <w:bCs/>
          <w:iCs/>
          <w:sz w:val="22"/>
          <w:szCs w:val="22"/>
        </w:rPr>
        <w:t xml:space="preserve"> is effective when issued.</w:t>
      </w:r>
    </w:p>
    <w:p w:rsidR="004F563B" w:rsidRPr="00E71BE7" w:rsidRDefault="004F563B" w:rsidP="00481C4C">
      <w:pPr>
        <w:pStyle w:val="NoSpacing"/>
        <w:rPr>
          <w:rFonts w:ascii="Times New Roman" w:hAnsi="Times New Roman" w:cs="Times New Roman"/>
        </w:rPr>
      </w:pPr>
    </w:p>
    <w:p w:rsidR="000D5F7B" w:rsidRPr="0015528A" w:rsidRDefault="000D5F7B" w:rsidP="00481C4C">
      <w:pPr>
        <w:pStyle w:val="NoSpacing"/>
        <w:rPr>
          <w:rFonts w:ascii="Times New Roman" w:hAnsi="Times New Roman" w:cs="Times New Roman"/>
          <w:b/>
          <w:color w:val="990033"/>
          <w:sz w:val="24"/>
          <w:szCs w:val="24"/>
        </w:rPr>
      </w:pPr>
      <w:r w:rsidRPr="0015528A">
        <w:rPr>
          <w:rFonts w:ascii="Times New Roman" w:hAnsi="Times New Roman" w:cs="Times New Roman"/>
          <w:b/>
          <w:color w:val="990033"/>
          <w:sz w:val="24"/>
          <w:szCs w:val="24"/>
        </w:rPr>
        <w:t>Introduction</w:t>
      </w:r>
    </w:p>
    <w:p w:rsidR="000D5F7B" w:rsidRPr="00481C4C" w:rsidRDefault="000D5F7B" w:rsidP="00481C4C">
      <w:pPr>
        <w:pStyle w:val="NoSpacing"/>
        <w:rPr>
          <w:rFonts w:ascii="Times New Roman" w:hAnsi="Times New Roman" w:cs="Times New Roman"/>
        </w:rPr>
      </w:pPr>
    </w:p>
    <w:p w:rsidR="00751FD2" w:rsidRPr="00481C4C" w:rsidRDefault="000D5F7B" w:rsidP="00751FD2">
      <w:pPr>
        <w:pStyle w:val="Default"/>
        <w:rPr>
          <w:sz w:val="22"/>
          <w:szCs w:val="22"/>
        </w:rPr>
      </w:pPr>
      <w:r w:rsidRPr="00481C4C">
        <w:rPr>
          <w:sz w:val="22"/>
          <w:szCs w:val="22"/>
        </w:rPr>
        <w:t xml:space="preserve">The audit of NFPs entities gives rise to a number of specific audit issues, a significant one is forming a conclusion and reporting on the </w:t>
      </w:r>
      <w:r w:rsidRPr="00E71BE7">
        <w:rPr>
          <w:i/>
          <w:sz w:val="22"/>
          <w:szCs w:val="22"/>
        </w:rPr>
        <w:t>completeness assertion</w:t>
      </w:r>
      <w:r w:rsidRPr="00481C4C">
        <w:rPr>
          <w:sz w:val="22"/>
          <w:szCs w:val="22"/>
        </w:rPr>
        <w:t xml:space="preserve"> in relation to fundraising revenue from sources </w:t>
      </w:r>
      <w:r w:rsidRPr="00481C4C">
        <w:rPr>
          <w:sz w:val="22"/>
          <w:szCs w:val="22"/>
        </w:rPr>
        <w:lastRenderedPageBreak/>
        <w:t xml:space="preserve">such as cash donations, appeals, raffles and other fundraising activities. </w:t>
      </w:r>
      <w:r w:rsidR="00751FD2" w:rsidRPr="00481C4C">
        <w:rPr>
          <w:sz w:val="22"/>
          <w:szCs w:val="22"/>
        </w:rPr>
        <w:t xml:space="preserve"> The guidance </w:t>
      </w:r>
      <w:r w:rsidR="00F2056D">
        <w:rPr>
          <w:sz w:val="22"/>
          <w:szCs w:val="22"/>
        </w:rPr>
        <w:t xml:space="preserve">in </w:t>
      </w:r>
      <w:r w:rsidR="00F2056D" w:rsidRPr="00481C4C">
        <w:rPr>
          <w:bCs/>
          <w:sz w:val="22"/>
          <w:szCs w:val="22"/>
        </w:rPr>
        <w:t>GS 019 ‘</w:t>
      </w:r>
      <w:r w:rsidR="00F2056D" w:rsidRPr="00481C4C">
        <w:rPr>
          <w:bCs/>
          <w:iCs/>
          <w:sz w:val="22"/>
          <w:szCs w:val="22"/>
        </w:rPr>
        <w:t>Auditing Fundraising Revenue of Not-for- Profit Entities’</w:t>
      </w:r>
      <w:r w:rsidR="00F2056D" w:rsidRPr="00481C4C">
        <w:rPr>
          <w:sz w:val="22"/>
          <w:szCs w:val="22"/>
        </w:rPr>
        <w:t xml:space="preserve"> </w:t>
      </w:r>
      <w:r w:rsidR="00751FD2" w:rsidRPr="00481C4C">
        <w:rPr>
          <w:sz w:val="22"/>
          <w:szCs w:val="22"/>
        </w:rPr>
        <w:t xml:space="preserve">is designed to assist the auditor in exercising professional judgement in the application of the Auditing Standards. </w:t>
      </w:r>
    </w:p>
    <w:p w:rsidR="000D5F7B" w:rsidRPr="00481C4C" w:rsidRDefault="000D5F7B" w:rsidP="000D5F7B">
      <w:pPr>
        <w:pStyle w:val="NoSpacing"/>
        <w:rPr>
          <w:rFonts w:ascii="Times New Roman" w:hAnsi="Times New Roman" w:cs="Times New Roman"/>
        </w:rPr>
      </w:pPr>
    </w:p>
    <w:p w:rsidR="0079155B" w:rsidRDefault="000D5F7B" w:rsidP="000D5F7B">
      <w:pPr>
        <w:pStyle w:val="NoSpacing"/>
        <w:rPr>
          <w:rFonts w:ascii="Times New Roman" w:hAnsi="Times New Roman" w:cs="Times New Roman"/>
        </w:rPr>
      </w:pPr>
      <w:r w:rsidRPr="00481C4C">
        <w:rPr>
          <w:rFonts w:ascii="Times New Roman" w:hAnsi="Times New Roman" w:cs="Times New Roman"/>
        </w:rPr>
        <w:t xml:space="preserve">There can be uncertainty as to whether a not-for-profit entity has received all cash donations to which it has a right from its respective fundraising or other revenue generating activities as adequate controls may not be in place over all sources of revenue. </w:t>
      </w:r>
      <w:r w:rsidR="00751FD2" w:rsidRPr="00481C4C">
        <w:rPr>
          <w:rFonts w:ascii="Times New Roman" w:hAnsi="Times New Roman" w:cs="Times New Roman"/>
        </w:rPr>
        <w:t xml:space="preserve"> </w:t>
      </w:r>
      <w:r w:rsidRPr="00481C4C">
        <w:rPr>
          <w:rFonts w:ascii="Times New Roman" w:hAnsi="Times New Roman" w:cs="Times New Roman"/>
        </w:rPr>
        <w:t xml:space="preserve">Consequently, an auditor may find it difficult to perform tests of controls and substantive procedures that are necessary to reduce assurance engagement risk, particularly in respect of the completeness of cash donations, to an acceptable level. </w:t>
      </w:r>
      <w:r w:rsidR="00E71BE7">
        <w:rPr>
          <w:rFonts w:ascii="Times New Roman" w:hAnsi="Times New Roman" w:cs="Times New Roman"/>
        </w:rPr>
        <w:t xml:space="preserve"> </w:t>
      </w:r>
      <w:r w:rsidRPr="00481C4C">
        <w:rPr>
          <w:rFonts w:ascii="Times New Roman" w:hAnsi="Times New Roman" w:cs="Times New Roman"/>
        </w:rPr>
        <w:t>When such a scope limitation exists, the auditor considers expressing a qualified opinion.</w:t>
      </w:r>
    </w:p>
    <w:p w:rsidR="0079155B" w:rsidRDefault="0079155B" w:rsidP="000D5F7B">
      <w:pPr>
        <w:pStyle w:val="NoSpacing"/>
        <w:rPr>
          <w:rFonts w:ascii="Times New Roman" w:hAnsi="Times New Roman" w:cs="Times New Roman"/>
        </w:rPr>
      </w:pPr>
    </w:p>
    <w:p w:rsidR="000D5F7B" w:rsidRPr="00481C4C" w:rsidRDefault="000D5F7B" w:rsidP="000D5F7B">
      <w:pPr>
        <w:pStyle w:val="NoSpacing"/>
        <w:rPr>
          <w:rFonts w:ascii="Times New Roman" w:hAnsi="Times New Roman" w:cs="Times New Roman"/>
        </w:rPr>
      </w:pPr>
      <w:r w:rsidRPr="00481C4C">
        <w:rPr>
          <w:rFonts w:ascii="Times New Roman" w:hAnsi="Times New Roman" w:cs="Times New Roman"/>
        </w:rPr>
        <w:t xml:space="preserve">The expression of a qualified opinion in respect of the completeness of cash donations as a portion of fundraising revenue </w:t>
      </w:r>
      <w:r w:rsidRPr="001B58D5">
        <w:rPr>
          <w:rFonts w:ascii="Times New Roman" w:hAnsi="Times New Roman" w:cs="Times New Roman"/>
          <w:i/>
        </w:rPr>
        <w:t xml:space="preserve">ought </w:t>
      </w:r>
      <w:r w:rsidR="001A1339" w:rsidRPr="001B58D5">
        <w:rPr>
          <w:rFonts w:ascii="Times New Roman" w:hAnsi="Times New Roman" w:cs="Times New Roman"/>
          <w:i/>
        </w:rPr>
        <w:t>not to</w:t>
      </w:r>
      <w:r w:rsidRPr="001B58D5">
        <w:rPr>
          <w:rFonts w:ascii="Times New Roman" w:hAnsi="Times New Roman" w:cs="Times New Roman"/>
          <w:i/>
        </w:rPr>
        <w:t xml:space="preserve"> occur as a matter of course</w:t>
      </w:r>
      <w:r w:rsidRPr="00481C4C">
        <w:rPr>
          <w:rFonts w:ascii="Times New Roman" w:hAnsi="Times New Roman" w:cs="Times New Roman"/>
        </w:rPr>
        <w:t xml:space="preserve"> for all not-for-profit entities that receive cash donations.  Consideration needs to be given to </w:t>
      </w:r>
      <w:r w:rsidRPr="001B58D5">
        <w:rPr>
          <w:rFonts w:ascii="Times New Roman" w:hAnsi="Times New Roman" w:cs="Times New Roman"/>
          <w:i/>
        </w:rPr>
        <w:t>materiality</w:t>
      </w:r>
      <w:r w:rsidRPr="00481C4C">
        <w:rPr>
          <w:rFonts w:ascii="Times New Roman" w:hAnsi="Times New Roman" w:cs="Times New Roman"/>
        </w:rPr>
        <w:t xml:space="preserve"> and </w:t>
      </w:r>
      <w:r w:rsidRPr="001B58D5">
        <w:rPr>
          <w:rFonts w:ascii="Times New Roman" w:hAnsi="Times New Roman" w:cs="Times New Roman"/>
          <w:i/>
        </w:rPr>
        <w:t>mitigation of risks</w:t>
      </w:r>
      <w:r w:rsidRPr="00481C4C">
        <w:rPr>
          <w:rFonts w:ascii="Times New Roman" w:hAnsi="Times New Roman" w:cs="Times New Roman"/>
        </w:rPr>
        <w:t xml:space="preserve"> through internal control structures or other factors affecting the environment in which the not-for-profit entity operates.</w:t>
      </w:r>
    </w:p>
    <w:p w:rsidR="000D5F7B" w:rsidRDefault="000D5F7B" w:rsidP="000D5F7B">
      <w:pPr>
        <w:pStyle w:val="NoSpacing"/>
        <w:rPr>
          <w:rFonts w:ascii="Times New Roman" w:hAnsi="Times New Roman" w:cs="Times New Roman"/>
        </w:rPr>
      </w:pPr>
    </w:p>
    <w:p w:rsidR="0015528A" w:rsidRPr="000C61C0" w:rsidRDefault="0015528A" w:rsidP="000D5F7B">
      <w:pPr>
        <w:pStyle w:val="NoSpacing"/>
        <w:rPr>
          <w:rFonts w:ascii="Times New Roman" w:hAnsi="Times New Roman" w:cs="Times New Roman"/>
          <w:b/>
          <w:color w:val="990033"/>
          <w:sz w:val="24"/>
          <w:szCs w:val="24"/>
        </w:rPr>
      </w:pPr>
      <w:r w:rsidRPr="000C61C0">
        <w:rPr>
          <w:rFonts w:ascii="Times New Roman" w:hAnsi="Times New Roman" w:cs="Times New Roman"/>
          <w:b/>
          <w:color w:val="990033"/>
          <w:sz w:val="24"/>
          <w:szCs w:val="24"/>
        </w:rPr>
        <w:t>NFP Environment and Fundraising Revenue</w:t>
      </w:r>
    </w:p>
    <w:p w:rsidR="0015528A" w:rsidRDefault="0015528A" w:rsidP="000D5F7B">
      <w:pPr>
        <w:pStyle w:val="NoSpacing"/>
        <w:rPr>
          <w:rFonts w:ascii="Times New Roman" w:hAnsi="Times New Roman" w:cs="Times New Roman"/>
        </w:rPr>
      </w:pPr>
    </w:p>
    <w:p w:rsidR="000517A6" w:rsidRDefault="000517A6" w:rsidP="000D5F7B">
      <w:pPr>
        <w:pStyle w:val="NoSpacing"/>
        <w:rPr>
          <w:rFonts w:ascii="Times New Roman" w:hAnsi="Times New Roman" w:cs="Times New Roman"/>
        </w:rPr>
      </w:pPr>
      <w:r>
        <w:rPr>
          <w:rFonts w:ascii="Times New Roman" w:hAnsi="Times New Roman" w:cs="Times New Roman"/>
          <w:bCs/>
        </w:rPr>
        <w:t xml:space="preserve">The </w:t>
      </w:r>
      <w:r w:rsidRPr="00481C4C">
        <w:rPr>
          <w:rFonts w:ascii="Times New Roman" w:hAnsi="Times New Roman" w:cs="Times New Roman"/>
          <w:bCs/>
        </w:rPr>
        <w:t>Guidance Statement</w:t>
      </w:r>
      <w:r>
        <w:rPr>
          <w:rFonts w:ascii="Times New Roman" w:hAnsi="Times New Roman" w:cs="Times New Roman"/>
          <w:bCs/>
        </w:rPr>
        <w:t xml:space="preserve"> describes the specific characteristics of NFPs, the nature of fund raising and internal controls structural characteristics that affect the nature, timing and extent of auditing procedures. </w:t>
      </w:r>
    </w:p>
    <w:p w:rsidR="000517A6" w:rsidRPr="00481C4C" w:rsidRDefault="000517A6" w:rsidP="000D5F7B">
      <w:pPr>
        <w:pStyle w:val="NoSpacing"/>
        <w:rPr>
          <w:rFonts w:ascii="Times New Roman" w:hAnsi="Times New Roman" w:cs="Times New Roman"/>
        </w:rPr>
      </w:pPr>
    </w:p>
    <w:p w:rsidR="00751FD2" w:rsidRPr="00481C4C" w:rsidRDefault="00751FD2" w:rsidP="008755BB">
      <w:pPr>
        <w:pStyle w:val="Default"/>
        <w:rPr>
          <w:sz w:val="22"/>
          <w:szCs w:val="22"/>
        </w:rPr>
      </w:pPr>
      <w:r w:rsidRPr="00481C4C">
        <w:rPr>
          <w:sz w:val="22"/>
          <w:szCs w:val="22"/>
        </w:rPr>
        <w:t>The charact</w:t>
      </w:r>
      <w:r w:rsidR="008755BB" w:rsidRPr="00481C4C">
        <w:rPr>
          <w:sz w:val="22"/>
          <w:szCs w:val="22"/>
        </w:rPr>
        <w:t>er</w:t>
      </w:r>
      <w:r w:rsidRPr="00481C4C">
        <w:rPr>
          <w:sz w:val="22"/>
          <w:szCs w:val="22"/>
        </w:rPr>
        <w:t>istics of NFP</w:t>
      </w:r>
      <w:r w:rsidR="000517A6">
        <w:rPr>
          <w:sz w:val="22"/>
          <w:szCs w:val="22"/>
        </w:rPr>
        <w:t>s</w:t>
      </w:r>
      <w:r w:rsidRPr="00481C4C">
        <w:rPr>
          <w:sz w:val="22"/>
          <w:szCs w:val="22"/>
        </w:rPr>
        <w:t xml:space="preserve"> include:</w:t>
      </w:r>
    </w:p>
    <w:p w:rsidR="008755BB" w:rsidRPr="001B58D5" w:rsidRDefault="00751FD2" w:rsidP="008755BB">
      <w:pPr>
        <w:pStyle w:val="Default"/>
        <w:numPr>
          <w:ilvl w:val="0"/>
          <w:numId w:val="1"/>
        </w:numPr>
        <w:rPr>
          <w:sz w:val="22"/>
          <w:szCs w:val="22"/>
        </w:rPr>
      </w:pPr>
      <w:r w:rsidRPr="001B58D5">
        <w:rPr>
          <w:i/>
          <w:color w:val="990033"/>
          <w:sz w:val="22"/>
          <w:szCs w:val="22"/>
        </w:rPr>
        <w:t>Regulatory Framework</w:t>
      </w:r>
      <w:r w:rsidRPr="001B58D5">
        <w:rPr>
          <w:sz w:val="22"/>
          <w:szCs w:val="22"/>
        </w:rPr>
        <w:t xml:space="preserve">:  The regulatory framework can be complex as NFPs operate under a variety of legal structures, such as a company limited by guarantee, a trust, an incorporated or unincorporated association, Royal Charter or pursuant to legislation enacted specifically to establish the entity (e.g. </w:t>
      </w:r>
      <w:r w:rsidRPr="001B58D5">
        <w:rPr>
          <w:iCs/>
          <w:sz w:val="22"/>
          <w:szCs w:val="22"/>
        </w:rPr>
        <w:t>Charitable Fundraising Act 1991</w:t>
      </w:r>
      <w:r w:rsidRPr="001B58D5">
        <w:rPr>
          <w:sz w:val="22"/>
          <w:szCs w:val="22"/>
        </w:rPr>
        <w:t>).  Each of these legal structures may impose specific financial reporting and auditing requirements.</w:t>
      </w:r>
      <w:r w:rsidR="008755BB" w:rsidRPr="001B58D5">
        <w:rPr>
          <w:sz w:val="22"/>
          <w:szCs w:val="22"/>
        </w:rPr>
        <w:t xml:space="preserve">  </w:t>
      </w:r>
      <w:r w:rsidR="008755BB" w:rsidRPr="001B58D5">
        <w:rPr>
          <w:iCs/>
          <w:sz w:val="22"/>
          <w:szCs w:val="22"/>
        </w:rPr>
        <w:t xml:space="preserve">Corporations Amendment (Corporate Reporting Reform) Act 2010 </w:t>
      </w:r>
      <w:r w:rsidR="008755BB" w:rsidRPr="001B58D5">
        <w:rPr>
          <w:sz w:val="22"/>
          <w:szCs w:val="22"/>
        </w:rPr>
        <w:t xml:space="preserve">established a three tier system for companies limited by guarantee based on annual revenue and the status of the entity, as to whether they are required to prepare a financial report and have the report audited or reviewed.  If the company limited by guarantee meets the criteria and the auditor is able to conduct a review instead of an audit (refer to ASRE 2415 </w:t>
      </w:r>
      <w:r w:rsidR="001B58D5" w:rsidRPr="001B58D5">
        <w:rPr>
          <w:sz w:val="22"/>
          <w:szCs w:val="22"/>
        </w:rPr>
        <w:t>‘</w:t>
      </w:r>
      <w:r w:rsidR="008755BB" w:rsidRPr="001B58D5">
        <w:rPr>
          <w:iCs/>
          <w:sz w:val="22"/>
          <w:szCs w:val="22"/>
        </w:rPr>
        <w:t xml:space="preserve">Review of a Financial Report </w:t>
      </w:r>
      <w:r w:rsidR="001B58D5" w:rsidRPr="001B58D5">
        <w:rPr>
          <w:iCs/>
          <w:sz w:val="22"/>
          <w:szCs w:val="22"/>
        </w:rPr>
        <w:t xml:space="preserve">– </w:t>
      </w:r>
      <w:r w:rsidR="008755BB" w:rsidRPr="001B58D5">
        <w:rPr>
          <w:iCs/>
          <w:sz w:val="22"/>
          <w:szCs w:val="22"/>
        </w:rPr>
        <w:t>Company Limited by Guarantee</w:t>
      </w:r>
      <w:r w:rsidR="001B58D5">
        <w:rPr>
          <w:iCs/>
          <w:sz w:val="22"/>
          <w:szCs w:val="22"/>
        </w:rPr>
        <w:t>’</w:t>
      </w:r>
      <w:r w:rsidR="00481C4C" w:rsidRPr="001B58D5">
        <w:rPr>
          <w:iCs/>
          <w:sz w:val="22"/>
          <w:szCs w:val="22"/>
        </w:rPr>
        <w:t>)</w:t>
      </w:r>
      <w:r w:rsidR="008755BB" w:rsidRPr="001B58D5">
        <w:rPr>
          <w:sz w:val="22"/>
          <w:szCs w:val="22"/>
        </w:rPr>
        <w:t xml:space="preserve"> </w:t>
      </w:r>
    </w:p>
    <w:p w:rsidR="00751FD2" w:rsidRPr="00481C4C" w:rsidRDefault="00751FD2" w:rsidP="008755BB">
      <w:pPr>
        <w:pStyle w:val="Default"/>
        <w:numPr>
          <w:ilvl w:val="0"/>
          <w:numId w:val="1"/>
        </w:numPr>
        <w:rPr>
          <w:sz w:val="22"/>
          <w:szCs w:val="22"/>
        </w:rPr>
      </w:pPr>
      <w:r w:rsidRPr="001B58D5">
        <w:rPr>
          <w:i/>
          <w:color w:val="990033"/>
          <w:sz w:val="22"/>
          <w:szCs w:val="22"/>
        </w:rPr>
        <w:t xml:space="preserve">Governing </w:t>
      </w:r>
      <w:r w:rsidR="00481C4C" w:rsidRPr="001B58D5">
        <w:rPr>
          <w:i/>
          <w:color w:val="990033"/>
          <w:sz w:val="22"/>
          <w:szCs w:val="22"/>
        </w:rPr>
        <w:t>D</w:t>
      </w:r>
      <w:r w:rsidRPr="001B58D5">
        <w:rPr>
          <w:i/>
          <w:color w:val="990033"/>
          <w:sz w:val="22"/>
          <w:szCs w:val="22"/>
        </w:rPr>
        <w:t>ocuments</w:t>
      </w:r>
      <w:r w:rsidR="00F77FFB" w:rsidRPr="00481C4C">
        <w:rPr>
          <w:sz w:val="22"/>
          <w:szCs w:val="22"/>
        </w:rPr>
        <w:t>:  These</w:t>
      </w:r>
      <w:r w:rsidRPr="00481C4C">
        <w:rPr>
          <w:sz w:val="22"/>
          <w:szCs w:val="22"/>
        </w:rPr>
        <w:t xml:space="preserve"> may prescribe specific disclosure requirements to be made in its financial report or other responsibilities which impact on the scope of the audit</w:t>
      </w:r>
    </w:p>
    <w:p w:rsidR="00751FD2" w:rsidRPr="00481C4C" w:rsidRDefault="00F77FFB" w:rsidP="008755BB">
      <w:pPr>
        <w:pStyle w:val="Default"/>
        <w:numPr>
          <w:ilvl w:val="0"/>
          <w:numId w:val="1"/>
        </w:numPr>
        <w:rPr>
          <w:sz w:val="22"/>
          <w:szCs w:val="22"/>
        </w:rPr>
      </w:pPr>
      <w:r w:rsidRPr="001B58D5">
        <w:rPr>
          <w:i/>
          <w:color w:val="990033"/>
          <w:sz w:val="22"/>
          <w:szCs w:val="22"/>
        </w:rPr>
        <w:t>L</w:t>
      </w:r>
      <w:r w:rsidR="00751FD2" w:rsidRPr="001B58D5">
        <w:rPr>
          <w:i/>
          <w:color w:val="990033"/>
          <w:sz w:val="22"/>
          <w:szCs w:val="22"/>
        </w:rPr>
        <w:t xml:space="preserve">egal </w:t>
      </w:r>
      <w:r w:rsidR="00481C4C" w:rsidRPr="001B58D5">
        <w:rPr>
          <w:i/>
          <w:color w:val="990033"/>
          <w:sz w:val="22"/>
          <w:szCs w:val="22"/>
        </w:rPr>
        <w:t>S</w:t>
      </w:r>
      <w:r w:rsidR="00751FD2" w:rsidRPr="001B58D5">
        <w:rPr>
          <w:i/>
          <w:color w:val="990033"/>
          <w:sz w:val="22"/>
          <w:szCs w:val="22"/>
        </w:rPr>
        <w:t>tructure</w:t>
      </w:r>
      <w:r w:rsidRPr="00481C4C">
        <w:rPr>
          <w:sz w:val="22"/>
          <w:szCs w:val="22"/>
        </w:rPr>
        <w:t xml:space="preserve">:  Structure </w:t>
      </w:r>
      <w:r w:rsidR="00751FD2" w:rsidRPr="00481C4C">
        <w:rPr>
          <w:sz w:val="22"/>
          <w:szCs w:val="22"/>
        </w:rPr>
        <w:t>may also affect the financial reporting framework including the extent to which compliance with Australian Accounting Standards is required</w:t>
      </w:r>
    </w:p>
    <w:p w:rsidR="00751FD2" w:rsidRPr="00481C4C" w:rsidRDefault="00F77FFB" w:rsidP="008755BB">
      <w:pPr>
        <w:pStyle w:val="Default"/>
        <w:numPr>
          <w:ilvl w:val="0"/>
          <w:numId w:val="1"/>
        </w:numPr>
        <w:rPr>
          <w:sz w:val="22"/>
          <w:szCs w:val="22"/>
        </w:rPr>
      </w:pPr>
      <w:r w:rsidRPr="001B58D5">
        <w:rPr>
          <w:i/>
          <w:color w:val="990033"/>
          <w:sz w:val="22"/>
          <w:szCs w:val="22"/>
        </w:rPr>
        <w:t>Diversity</w:t>
      </w:r>
      <w:r w:rsidRPr="00481C4C">
        <w:rPr>
          <w:sz w:val="22"/>
          <w:szCs w:val="22"/>
        </w:rPr>
        <w:t xml:space="preserve">:  </w:t>
      </w:r>
      <w:r w:rsidR="00751FD2" w:rsidRPr="00481C4C">
        <w:rPr>
          <w:sz w:val="22"/>
          <w:szCs w:val="22"/>
        </w:rPr>
        <w:t xml:space="preserve">Significant diversity in the activities, operations, size, and legal structures of </w:t>
      </w:r>
      <w:r w:rsidR="001B58D5">
        <w:rPr>
          <w:sz w:val="22"/>
          <w:szCs w:val="22"/>
        </w:rPr>
        <w:t xml:space="preserve">NFP </w:t>
      </w:r>
      <w:r w:rsidR="00751FD2" w:rsidRPr="00481C4C">
        <w:rPr>
          <w:sz w:val="22"/>
          <w:szCs w:val="22"/>
        </w:rPr>
        <w:t xml:space="preserve">entities </w:t>
      </w:r>
    </w:p>
    <w:p w:rsidR="00751FD2" w:rsidRPr="00481C4C" w:rsidRDefault="00F77FFB" w:rsidP="008755BB">
      <w:pPr>
        <w:pStyle w:val="Default"/>
        <w:numPr>
          <w:ilvl w:val="0"/>
          <w:numId w:val="1"/>
        </w:numPr>
        <w:rPr>
          <w:sz w:val="22"/>
          <w:szCs w:val="22"/>
        </w:rPr>
      </w:pPr>
      <w:r w:rsidRPr="001B58D5">
        <w:rPr>
          <w:i/>
          <w:color w:val="990033"/>
          <w:sz w:val="22"/>
          <w:szCs w:val="22"/>
        </w:rPr>
        <w:t>Public Interest</w:t>
      </w:r>
      <w:r w:rsidRPr="00481C4C">
        <w:rPr>
          <w:sz w:val="22"/>
          <w:szCs w:val="22"/>
        </w:rPr>
        <w:t xml:space="preserve">:  </w:t>
      </w:r>
      <w:r w:rsidR="00751FD2" w:rsidRPr="00481C4C">
        <w:rPr>
          <w:sz w:val="22"/>
          <w:szCs w:val="22"/>
        </w:rPr>
        <w:t>Significant public interest in the accountability as NFP are generally supported by voluntary contributions of both physical and financial resources and their purpose is largely to serve some public need</w:t>
      </w:r>
      <w:r w:rsidR="00481C4C" w:rsidRPr="00481C4C">
        <w:rPr>
          <w:sz w:val="22"/>
          <w:szCs w:val="22"/>
        </w:rPr>
        <w:t>, and</w:t>
      </w:r>
    </w:p>
    <w:p w:rsidR="00751FD2" w:rsidRPr="00481C4C" w:rsidRDefault="00F77FFB" w:rsidP="008755BB">
      <w:pPr>
        <w:pStyle w:val="Default"/>
        <w:numPr>
          <w:ilvl w:val="0"/>
          <w:numId w:val="1"/>
        </w:numPr>
        <w:rPr>
          <w:sz w:val="22"/>
          <w:szCs w:val="22"/>
        </w:rPr>
      </w:pPr>
      <w:r w:rsidRPr="001B58D5">
        <w:rPr>
          <w:i/>
          <w:color w:val="990033"/>
          <w:sz w:val="22"/>
          <w:szCs w:val="22"/>
        </w:rPr>
        <w:t>Fundraising Regul</w:t>
      </w:r>
      <w:r w:rsidR="008755BB" w:rsidRPr="001B58D5">
        <w:rPr>
          <w:i/>
          <w:color w:val="990033"/>
          <w:sz w:val="22"/>
          <w:szCs w:val="22"/>
        </w:rPr>
        <w:t>a</w:t>
      </w:r>
      <w:r w:rsidRPr="001B58D5">
        <w:rPr>
          <w:i/>
          <w:color w:val="990033"/>
          <w:sz w:val="22"/>
          <w:szCs w:val="22"/>
        </w:rPr>
        <w:t>tions</w:t>
      </w:r>
      <w:r w:rsidRPr="00481C4C">
        <w:rPr>
          <w:sz w:val="22"/>
          <w:szCs w:val="22"/>
        </w:rPr>
        <w:t>:  Co</w:t>
      </w:r>
      <w:r w:rsidR="00751FD2" w:rsidRPr="00481C4C">
        <w:rPr>
          <w:sz w:val="22"/>
          <w:szCs w:val="22"/>
        </w:rPr>
        <w:t xml:space="preserve">nduct of some activities undertaken </w:t>
      </w:r>
      <w:r w:rsidRPr="00481C4C">
        <w:rPr>
          <w:sz w:val="22"/>
          <w:szCs w:val="22"/>
        </w:rPr>
        <w:t>such as</w:t>
      </w:r>
      <w:r w:rsidR="00751FD2" w:rsidRPr="00481C4C">
        <w:rPr>
          <w:sz w:val="22"/>
          <w:szCs w:val="22"/>
        </w:rPr>
        <w:t xml:space="preserve"> major fundraising events or other activities associated therewith may be governed by specific regulations. </w:t>
      </w:r>
      <w:r w:rsidRPr="00481C4C">
        <w:rPr>
          <w:sz w:val="22"/>
          <w:szCs w:val="22"/>
        </w:rPr>
        <w:t xml:space="preserve"> </w:t>
      </w:r>
      <w:r w:rsidR="00751FD2" w:rsidRPr="00481C4C">
        <w:rPr>
          <w:sz w:val="22"/>
          <w:szCs w:val="22"/>
        </w:rPr>
        <w:t xml:space="preserve">Such regulations may prescribe compliance and reporting obligations by the entity’s governing body and the auditor in connection with the particular event. </w:t>
      </w:r>
      <w:r w:rsidRPr="00481C4C">
        <w:rPr>
          <w:sz w:val="22"/>
          <w:szCs w:val="22"/>
        </w:rPr>
        <w:t xml:space="preserve"> </w:t>
      </w:r>
      <w:r w:rsidR="00751FD2" w:rsidRPr="00481C4C">
        <w:rPr>
          <w:sz w:val="22"/>
          <w:szCs w:val="22"/>
        </w:rPr>
        <w:t xml:space="preserve">Any material non-compliance with these regulations could have a significant financial impact should any limitation be placed on the </w:t>
      </w:r>
      <w:r w:rsidR="00A04B88">
        <w:rPr>
          <w:sz w:val="22"/>
          <w:szCs w:val="22"/>
        </w:rPr>
        <w:t xml:space="preserve">NFP </w:t>
      </w:r>
      <w:r w:rsidR="00751FD2" w:rsidRPr="00481C4C">
        <w:rPr>
          <w:sz w:val="22"/>
          <w:szCs w:val="22"/>
        </w:rPr>
        <w:t xml:space="preserve">undertaking similar activities in the future. </w:t>
      </w:r>
    </w:p>
    <w:p w:rsidR="00751FD2" w:rsidRDefault="00751FD2" w:rsidP="000D5F7B">
      <w:pPr>
        <w:pStyle w:val="NoSpacing"/>
        <w:rPr>
          <w:rFonts w:ascii="Times New Roman" w:hAnsi="Times New Roman" w:cs="Times New Roman"/>
        </w:rPr>
      </w:pPr>
    </w:p>
    <w:p w:rsidR="00A04B88" w:rsidRPr="0015528A" w:rsidRDefault="00A04B88" w:rsidP="00A04B88">
      <w:pPr>
        <w:pStyle w:val="Default"/>
        <w:rPr>
          <w:sz w:val="22"/>
          <w:szCs w:val="22"/>
        </w:rPr>
      </w:pPr>
      <w:r w:rsidRPr="0015528A">
        <w:rPr>
          <w:sz w:val="22"/>
          <w:szCs w:val="22"/>
        </w:rPr>
        <w:t>The nature of fundraising revenue includes</w:t>
      </w:r>
      <w:r w:rsidR="0015528A">
        <w:rPr>
          <w:sz w:val="22"/>
          <w:szCs w:val="22"/>
        </w:rPr>
        <w:t>:</w:t>
      </w:r>
    </w:p>
    <w:p w:rsidR="00A04B88" w:rsidRPr="0015528A" w:rsidRDefault="00A04B88" w:rsidP="0015528A">
      <w:pPr>
        <w:pStyle w:val="Default"/>
        <w:numPr>
          <w:ilvl w:val="0"/>
          <w:numId w:val="2"/>
        </w:numPr>
        <w:rPr>
          <w:sz w:val="22"/>
          <w:szCs w:val="22"/>
        </w:rPr>
      </w:pPr>
      <w:r w:rsidRPr="001B58D5">
        <w:rPr>
          <w:i/>
          <w:color w:val="990033"/>
          <w:sz w:val="22"/>
          <w:szCs w:val="22"/>
        </w:rPr>
        <w:lastRenderedPageBreak/>
        <w:t>Diversity</w:t>
      </w:r>
      <w:r w:rsidR="00F27959" w:rsidRPr="001B58D5">
        <w:rPr>
          <w:i/>
          <w:color w:val="990033"/>
          <w:sz w:val="22"/>
          <w:szCs w:val="22"/>
        </w:rPr>
        <w:t xml:space="preserve"> (Source, type and location</w:t>
      </w:r>
      <w:r w:rsidR="00F27959" w:rsidRPr="0015528A">
        <w:rPr>
          <w:i/>
          <w:sz w:val="22"/>
          <w:szCs w:val="22"/>
        </w:rPr>
        <w:t>)</w:t>
      </w:r>
      <w:r w:rsidRPr="0015528A">
        <w:rPr>
          <w:sz w:val="22"/>
          <w:szCs w:val="22"/>
        </w:rPr>
        <w:t>:  Derived from a variety of sources including: cash donations from the public, donated materials, restricted and unrestricted grants from government</w:t>
      </w:r>
      <w:r w:rsidR="00F27959" w:rsidRPr="0015528A">
        <w:rPr>
          <w:sz w:val="22"/>
          <w:szCs w:val="22"/>
        </w:rPr>
        <w:t>; obt</w:t>
      </w:r>
      <w:r w:rsidRPr="0015528A">
        <w:rPr>
          <w:sz w:val="22"/>
          <w:szCs w:val="22"/>
        </w:rPr>
        <w:t>ained from street, door-to-door or postal collections, special events or other methods of fundraising</w:t>
      </w:r>
      <w:r w:rsidR="00F27959" w:rsidRPr="0015528A">
        <w:rPr>
          <w:sz w:val="22"/>
          <w:szCs w:val="22"/>
        </w:rPr>
        <w:t>; g</w:t>
      </w:r>
      <w:r w:rsidRPr="0015528A">
        <w:rPr>
          <w:sz w:val="22"/>
          <w:szCs w:val="22"/>
        </w:rPr>
        <w:t xml:space="preserve">eographically dispersed, and may be directed to a </w:t>
      </w:r>
      <w:r w:rsidR="00F27959" w:rsidRPr="0015528A">
        <w:rPr>
          <w:sz w:val="22"/>
          <w:szCs w:val="22"/>
        </w:rPr>
        <w:t>NFP</w:t>
      </w:r>
      <w:r w:rsidRPr="0015528A">
        <w:rPr>
          <w:sz w:val="22"/>
          <w:szCs w:val="22"/>
        </w:rPr>
        <w:t xml:space="preserve"> from professional third parties or voluntary fundraisers</w:t>
      </w:r>
    </w:p>
    <w:p w:rsidR="00A04B88" w:rsidRPr="0015528A" w:rsidRDefault="00F27959" w:rsidP="0015528A">
      <w:pPr>
        <w:pStyle w:val="Default"/>
        <w:numPr>
          <w:ilvl w:val="0"/>
          <w:numId w:val="2"/>
        </w:numPr>
        <w:rPr>
          <w:sz w:val="22"/>
          <w:szCs w:val="22"/>
        </w:rPr>
      </w:pPr>
      <w:r w:rsidRPr="001B58D5">
        <w:rPr>
          <w:i/>
          <w:color w:val="990033"/>
          <w:sz w:val="22"/>
          <w:szCs w:val="22"/>
        </w:rPr>
        <w:t>Documentation and Control</w:t>
      </w:r>
      <w:r w:rsidRPr="0015528A">
        <w:rPr>
          <w:sz w:val="22"/>
          <w:szCs w:val="22"/>
        </w:rPr>
        <w:t>:  C</w:t>
      </w:r>
      <w:r w:rsidR="00A04B88" w:rsidRPr="0015528A">
        <w:rPr>
          <w:sz w:val="22"/>
          <w:szCs w:val="22"/>
        </w:rPr>
        <w:t xml:space="preserve">ollection may not be supported by invoices or equivalent documentation, or subject to internal controls commonly found in a for-profit business entity </w:t>
      </w:r>
    </w:p>
    <w:p w:rsidR="00F27959" w:rsidRPr="0015528A" w:rsidRDefault="00F27959" w:rsidP="0015528A">
      <w:pPr>
        <w:pStyle w:val="NoSpacing"/>
        <w:numPr>
          <w:ilvl w:val="0"/>
          <w:numId w:val="2"/>
        </w:numPr>
        <w:rPr>
          <w:rFonts w:ascii="Times New Roman" w:hAnsi="Times New Roman" w:cs="Times New Roman"/>
        </w:rPr>
      </w:pPr>
      <w:r w:rsidRPr="001B58D5">
        <w:rPr>
          <w:rFonts w:ascii="Times New Roman" w:hAnsi="Times New Roman" w:cs="Times New Roman"/>
          <w:i/>
          <w:color w:val="990033"/>
        </w:rPr>
        <w:t>Determining Amount</w:t>
      </w:r>
      <w:r w:rsidRPr="0015528A">
        <w:rPr>
          <w:rFonts w:ascii="Times New Roman" w:hAnsi="Times New Roman" w:cs="Times New Roman"/>
        </w:rPr>
        <w:t xml:space="preserve">:  Difficult to accurately estimate the level of fundraising revenue from cash donations, contributions or grants: donors’ patterns of giving may change; and some contributions, such as grants to undertake particular activities. </w:t>
      </w:r>
      <w:r w:rsidR="0015528A" w:rsidRPr="0015528A">
        <w:rPr>
          <w:rFonts w:ascii="Times New Roman" w:hAnsi="Times New Roman" w:cs="Times New Roman"/>
        </w:rPr>
        <w:t xml:space="preserve"> </w:t>
      </w:r>
      <w:r w:rsidRPr="0015528A">
        <w:rPr>
          <w:rFonts w:ascii="Times New Roman" w:hAnsi="Times New Roman" w:cs="Times New Roman"/>
        </w:rPr>
        <w:t>Receipt of these funds can be for a specific purpose, with their use and recognition subject to compliance with specific conditions</w:t>
      </w:r>
    </w:p>
    <w:p w:rsidR="00F27959" w:rsidRPr="0015528A" w:rsidRDefault="0015528A" w:rsidP="0015528A">
      <w:pPr>
        <w:pStyle w:val="NoSpacing"/>
        <w:numPr>
          <w:ilvl w:val="0"/>
          <w:numId w:val="2"/>
        </w:numPr>
        <w:rPr>
          <w:rFonts w:ascii="Times New Roman" w:hAnsi="Times New Roman" w:cs="Times New Roman"/>
        </w:rPr>
      </w:pPr>
      <w:r w:rsidRPr="001B58D5">
        <w:rPr>
          <w:rFonts w:ascii="Times New Roman" w:hAnsi="Times New Roman" w:cs="Times New Roman"/>
          <w:i/>
          <w:color w:val="990033"/>
        </w:rPr>
        <w:t>Interrelationships</w:t>
      </w:r>
      <w:r w:rsidRPr="0015528A">
        <w:rPr>
          <w:rFonts w:ascii="Times New Roman" w:hAnsi="Times New Roman" w:cs="Times New Roman"/>
        </w:rPr>
        <w:t>:  M</w:t>
      </w:r>
      <w:r w:rsidR="00F27959" w:rsidRPr="0015528A">
        <w:rPr>
          <w:rFonts w:ascii="Times New Roman" w:hAnsi="Times New Roman" w:cs="Times New Roman"/>
        </w:rPr>
        <w:t xml:space="preserve">ay be difficult to establish a relationship between cash donations and other amounts in the financial report as expenditure levels may not have any direct relationship with such fundraising revenue. </w:t>
      </w:r>
    </w:p>
    <w:p w:rsidR="00A04B88" w:rsidRPr="000517A6" w:rsidRDefault="00A04B88" w:rsidP="004F563B">
      <w:pPr>
        <w:pStyle w:val="NoSpacing"/>
        <w:rPr>
          <w:rFonts w:ascii="Times New Roman" w:hAnsi="Times New Roman" w:cs="Times New Roman"/>
        </w:rPr>
      </w:pPr>
    </w:p>
    <w:p w:rsidR="0015528A" w:rsidRPr="000517A6" w:rsidRDefault="0015528A" w:rsidP="004F563B">
      <w:pPr>
        <w:pStyle w:val="Default"/>
        <w:ind w:left="708" w:hanging="709"/>
        <w:rPr>
          <w:sz w:val="22"/>
          <w:szCs w:val="22"/>
        </w:rPr>
      </w:pPr>
      <w:r w:rsidRPr="000517A6">
        <w:rPr>
          <w:sz w:val="22"/>
          <w:szCs w:val="22"/>
        </w:rPr>
        <w:t xml:space="preserve">The internal control structure is likely to be affected by the following factors: </w:t>
      </w:r>
    </w:p>
    <w:p w:rsidR="0015528A" w:rsidRPr="000517A6" w:rsidRDefault="000517A6" w:rsidP="004F563B">
      <w:pPr>
        <w:pStyle w:val="Default"/>
        <w:numPr>
          <w:ilvl w:val="0"/>
          <w:numId w:val="3"/>
        </w:numPr>
        <w:rPr>
          <w:sz w:val="22"/>
          <w:szCs w:val="22"/>
        </w:rPr>
      </w:pPr>
      <w:r w:rsidRPr="004F563B">
        <w:rPr>
          <w:i/>
          <w:color w:val="990033"/>
          <w:sz w:val="22"/>
          <w:szCs w:val="22"/>
        </w:rPr>
        <w:t>Limited Resources</w:t>
      </w:r>
      <w:r w:rsidRPr="000517A6">
        <w:rPr>
          <w:sz w:val="22"/>
          <w:szCs w:val="22"/>
        </w:rPr>
        <w:t>:  L</w:t>
      </w:r>
      <w:r w:rsidR="0015528A" w:rsidRPr="000517A6">
        <w:rPr>
          <w:sz w:val="22"/>
          <w:szCs w:val="22"/>
        </w:rPr>
        <w:t>imited resources available to achieve internal control objectives</w:t>
      </w:r>
      <w:r w:rsidRPr="000517A6">
        <w:rPr>
          <w:sz w:val="22"/>
          <w:szCs w:val="22"/>
        </w:rPr>
        <w:t xml:space="preserve"> as</w:t>
      </w:r>
      <w:r w:rsidR="0015528A" w:rsidRPr="000517A6">
        <w:rPr>
          <w:sz w:val="22"/>
          <w:szCs w:val="22"/>
        </w:rPr>
        <w:t xml:space="preserve"> administrative staff and management tools </w:t>
      </w:r>
      <w:r w:rsidRPr="000517A6">
        <w:rPr>
          <w:sz w:val="22"/>
          <w:szCs w:val="22"/>
        </w:rPr>
        <w:t xml:space="preserve">kept </w:t>
      </w:r>
      <w:r w:rsidR="0015528A" w:rsidRPr="000517A6">
        <w:rPr>
          <w:sz w:val="22"/>
          <w:szCs w:val="22"/>
        </w:rPr>
        <w:t>to a minimum so that resources are allocated to activities that will help achieve its mission</w:t>
      </w:r>
    </w:p>
    <w:p w:rsidR="0015528A" w:rsidRPr="000517A6" w:rsidRDefault="000517A6" w:rsidP="004F563B">
      <w:pPr>
        <w:pStyle w:val="Default"/>
        <w:numPr>
          <w:ilvl w:val="0"/>
          <w:numId w:val="3"/>
        </w:numPr>
        <w:rPr>
          <w:sz w:val="22"/>
          <w:szCs w:val="22"/>
        </w:rPr>
      </w:pPr>
      <w:r w:rsidRPr="004F563B">
        <w:rPr>
          <w:i/>
          <w:color w:val="990033"/>
          <w:sz w:val="22"/>
          <w:szCs w:val="22"/>
        </w:rPr>
        <w:t>Volunteers</w:t>
      </w:r>
      <w:r w:rsidRPr="000517A6">
        <w:rPr>
          <w:sz w:val="22"/>
          <w:szCs w:val="22"/>
        </w:rPr>
        <w:t>:  L</w:t>
      </w:r>
      <w:r w:rsidR="0015528A" w:rsidRPr="000517A6">
        <w:rPr>
          <w:sz w:val="22"/>
          <w:szCs w:val="22"/>
        </w:rPr>
        <w:t>ikelihood that volunteers will be involved</w:t>
      </w:r>
      <w:r w:rsidRPr="000517A6">
        <w:rPr>
          <w:sz w:val="22"/>
          <w:szCs w:val="22"/>
        </w:rPr>
        <w:t xml:space="preserve"> that range </w:t>
      </w:r>
      <w:r w:rsidR="0015528A" w:rsidRPr="000517A6">
        <w:rPr>
          <w:sz w:val="22"/>
          <w:szCs w:val="22"/>
        </w:rPr>
        <w:t xml:space="preserve">from serving in a voluntary capacity on the governing board to daily involvement in the entity’s operations or management, including performing accounting and fundraising functions </w:t>
      </w:r>
    </w:p>
    <w:p w:rsidR="0015528A" w:rsidRPr="000517A6" w:rsidRDefault="000517A6" w:rsidP="004F563B">
      <w:pPr>
        <w:pStyle w:val="Default"/>
        <w:numPr>
          <w:ilvl w:val="0"/>
          <w:numId w:val="3"/>
        </w:numPr>
        <w:rPr>
          <w:sz w:val="22"/>
          <w:szCs w:val="22"/>
        </w:rPr>
      </w:pPr>
      <w:r w:rsidRPr="004F563B">
        <w:rPr>
          <w:i/>
          <w:color w:val="990033"/>
          <w:sz w:val="22"/>
          <w:szCs w:val="22"/>
        </w:rPr>
        <w:t>Culture</w:t>
      </w:r>
      <w:r w:rsidRPr="000517A6">
        <w:rPr>
          <w:sz w:val="22"/>
          <w:szCs w:val="22"/>
        </w:rPr>
        <w:t>:  C</w:t>
      </w:r>
      <w:r w:rsidR="0015528A" w:rsidRPr="000517A6">
        <w:rPr>
          <w:sz w:val="22"/>
          <w:szCs w:val="22"/>
        </w:rPr>
        <w:t>ulture that underlies various facets of the control environment, including attitudes towards the importance of accountability, how authority and responsibility are assigned, and personnel management policies and practices</w:t>
      </w:r>
    </w:p>
    <w:p w:rsidR="0015528A" w:rsidRPr="000517A6" w:rsidRDefault="000517A6" w:rsidP="004F563B">
      <w:pPr>
        <w:pStyle w:val="Default"/>
        <w:numPr>
          <w:ilvl w:val="0"/>
          <w:numId w:val="3"/>
        </w:numPr>
        <w:rPr>
          <w:sz w:val="22"/>
          <w:szCs w:val="22"/>
        </w:rPr>
      </w:pPr>
      <w:r w:rsidRPr="004F563B">
        <w:rPr>
          <w:i/>
          <w:color w:val="990033"/>
          <w:sz w:val="22"/>
          <w:szCs w:val="22"/>
        </w:rPr>
        <w:t>Externally Imposed Requirements</w:t>
      </w:r>
      <w:r w:rsidRPr="000517A6">
        <w:rPr>
          <w:sz w:val="22"/>
          <w:szCs w:val="22"/>
        </w:rPr>
        <w:t>:  T</w:t>
      </w:r>
      <w:r w:rsidR="0015528A" w:rsidRPr="000517A6">
        <w:rPr>
          <w:sz w:val="22"/>
          <w:szCs w:val="22"/>
        </w:rPr>
        <w:t xml:space="preserve">he existence of any externally imposed requirements by governments, contributors, or national or international bodies affiliated with the </w:t>
      </w:r>
      <w:r w:rsidRPr="000517A6">
        <w:rPr>
          <w:sz w:val="22"/>
          <w:szCs w:val="22"/>
        </w:rPr>
        <w:t>NFP</w:t>
      </w:r>
      <w:r w:rsidR="0015528A" w:rsidRPr="000517A6">
        <w:rPr>
          <w:sz w:val="22"/>
          <w:szCs w:val="22"/>
        </w:rPr>
        <w:t xml:space="preserve"> that may require certain control procedures be implemented, such as ensuring that government grants are only expended/recognised in accordance with a grant agreement or certain expenses are approved by the governing body</w:t>
      </w:r>
    </w:p>
    <w:p w:rsidR="0015528A" w:rsidRPr="000517A6" w:rsidRDefault="000517A6" w:rsidP="004F563B">
      <w:pPr>
        <w:pStyle w:val="Default"/>
        <w:numPr>
          <w:ilvl w:val="0"/>
          <w:numId w:val="3"/>
        </w:numPr>
        <w:rPr>
          <w:sz w:val="22"/>
          <w:szCs w:val="22"/>
        </w:rPr>
      </w:pPr>
      <w:r w:rsidRPr="004F563B">
        <w:rPr>
          <w:i/>
          <w:color w:val="990033"/>
          <w:sz w:val="22"/>
          <w:szCs w:val="22"/>
        </w:rPr>
        <w:t>Fund Raising Requirements</w:t>
      </w:r>
      <w:r w:rsidRPr="000517A6">
        <w:rPr>
          <w:sz w:val="22"/>
          <w:szCs w:val="22"/>
        </w:rPr>
        <w:t>:  T</w:t>
      </w:r>
      <w:r w:rsidR="0015528A" w:rsidRPr="000517A6">
        <w:rPr>
          <w:sz w:val="22"/>
          <w:szCs w:val="22"/>
        </w:rPr>
        <w:t xml:space="preserve">he regulatory requirements relating to fundraising activities </w:t>
      </w:r>
    </w:p>
    <w:p w:rsidR="000517A6" w:rsidRPr="000517A6" w:rsidRDefault="000517A6" w:rsidP="004F563B">
      <w:pPr>
        <w:pStyle w:val="Default"/>
        <w:numPr>
          <w:ilvl w:val="0"/>
          <w:numId w:val="3"/>
        </w:numPr>
        <w:rPr>
          <w:sz w:val="22"/>
          <w:szCs w:val="22"/>
        </w:rPr>
      </w:pPr>
      <w:r w:rsidRPr="004F563B">
        <w:rPr>
          <w:i/>
          <w:color w:val="990033"/>
          <w:sz w:val="22"/>
          <w:szCs w:val="22"/>
        </w:rPr>
        <w:t>Key Performance Indicators</w:t>
      </w:r>
      <w:r w:rsidRPr="000517A6">
        <w:rPr>
          <w:sz w:val="22"/>
          <w:szCs w:val="22"/>
        </w:rPr>
        <w:t>:  T</w:t>
      </w:r>
      <w:r w:rsidR="0015528A" w:rsidRPr="000517A6">
        <w:rPr>
          <w:sz w:val="22"/>
          <w:szCs w:val="22"/>
        </w:rPr>
        <w:t>he existence of accountability requirements over operations in the form of key performance indicators</w:t>
      </w:r>
      <w:r w:rsidR="004F563B">
        <w:rPr>
          <w:sz w:val="22"/>
          <w:szCs w:val="22"/>
        </w:rPr>
        <w:t>,</w:t>
      </w:r>
      <w:r w:rsidRPr="000517A6">
        <w:rPr>
          <w:sz w:val="22"/>
          <w:szCs w:val="22"/>
        </w:rPr>
        <w:t xml:space="preserve"> such as</w:t>
      </w:r>
      <w:r w:rsidR="004F563B">
        <w:rPr>
          <w:sz w:val="22"/>
          <w:szCs w:val="22"/>
        </w:rPr>
        <w:t>,</w:t>
      </w:r>
      <w:r w:rsidRPr="000517A6">
        <w:rPr>
          <w:sz w:val="22"/>
          <w:szCs w:val="22"/>
        </w:rPr>
        <w:t xml:space="preserve"> </w:t>
      </w:r>
      <w:r w:rsidR="0015528A" w:rsidRPr="000517A6">
        <w:rPr>
          <w:sz w:val="22"/>
          <w:szCs w:val="22"/>
        </w:rPr>
        <w:t>the ratio of organisational and fundraising expenditure to fundraising revenue, or cost of fundraising to funds raised</w:t>
      </w:r>
      <w:r w:rsidRPr="000517A6">
        <w:rPr>
          <w:sz w:val="22"/>
          <w:szCs w:val="22"/>
        </w:rPr>
        <w:t>,</w:t>
      </w:r>
      <w:r w:rsidR="0015528A" w:rsidRPr="000517A6">
        <w:rPr>
          <w:sz w:val="22"/>
          <w:szCs w:val="22"/>
        </w:rPr>
        <w:t xml:space="preserve"> and</w:t>
      </w:r>
    </w:p>
    <w:p w:rsidR="0015528A" w:rsidRPr="000517A6" w:rsidRDefault="000517A6" w:rsidP="004F563B">
      <w:pPr>
        <w:pStyle w:val="Default"/>
        <w:numPr>
          <w:ilvl w:val="0"/>
          <w:numId w:val="3"/>
        </w:numPr>
        <w:rPr>
          <w:sz w:val="22"/>
          <w:szCs w:val="22"/>
        </w:rPr>
      </w:pPr>
      <w:r w:rsidRPr="004F563B">
        <w:rPr>
          <w:i/>
          <w:color w:val="990033"/>
          <w:sz w:val="22"/>
          <w:szCs w:val="22"/>
        </w:rPr>
        <w:t>External Fundraisers</w:t>
      </w:r>
      <w:r w:rsidRPr="000517A6">
        <w:rPr>
          <w:sz w:val="22"/>
          <w:szCs w:val="22"/>
        </w:rPr>
        <w:t>:  W</w:t>
      </w:r>
      <w:r w:rsidR="0015528A" w:rsidRPr="000517A6">
        <w:rPr>
          <w:sz w:val="22"/>
          <w:szCs w:val="22"/>
        </w:rPr>
        <w:t xml:space="preserve">here third party specialist fundraisers or other non-controlled entities </w:t>
      </w:r>
      <w:r w:rsidRPr="000517A6">
        <w:rPr>
          <w:sz w:val="22"/>
          <w:szCs w:val="22"/>
        </w:rPr>
        <w:t>such as</w:t>
      </w:r>
      <w:r w:rsidR="0015528A" w:rsidRPr="000517A6">
        <w:rPr>
          <w:sz w:val="22"/>
          <w:szCs w:val="22"/>
        </w:rPr>
        <w:t xml:space="preserve"> branches or associates, undertake fundraising on behalf of a </w:t>
      </w:r>
      <w:r w:rsidRPr="000517A6">
        <w:rPr>
          <w:sz w:val="22"/>
          <w:szCs w:val="22"/>
        </w:rPr>
        <w:t>NFP</w:t>
      </w:r>
      <w:r w:rsidR="0015528A" w:rsidRPr="000517A6">
        <w:rPr>
          <w:sz w:val="22"/>
          <w:szCs w:val="22"/>
        </w:rPr>
        <w:t xml:space="preserve"> (under a documented agreement). </w:t>
      </w:r>
    </w:p>
    <w:p w:rsidR="0015528A" w:rsidRDefault="0015528A" w:rsidP="004F563B">
      <w:pPr>
        <w:pStyle w:val="Default"/>
        <w:rPr>
          <w:sz w:val="22"/>
          <w:szCs w:val="22"/>
        </w:rPr>
      </w:pPr>
    </w:p>
    <w:p w:rsidR="001D40AF" w:rsidRPr="00F46088" w:rsidRDefault="001D40AF" w:rsidP="001D40AF">
      <w:pPr>
        <w:pStyle w:val="Default"/>
        <w:rPr>
          <w:sz w:val="22"/>
          <w:szCs w:val="22"/>
        </w:rPr>
      </w:pPr>
      <w:r w:rsidRPr="00F46088">
        <w:rPr>
          <w:sz w:val="22"/>
          <w:szCs w:val="22"/>
        </w:rPr>
        <w:t xml:space="preserve">Sources of fundraising revenue with the internal controls that may be implemented </w:t>
      </w:r>
      <w:r>
        <w:rPr>
          <w:sz w:val="22"/>
          <w:szCs w:val="22"/>
        </w:rPr>
        <w:t>are described in Appendix 1: Fundraising and Possible Internal Controls.</w:t>
      </w:r>
    </w:p>
    <w:p w:rsidR="001D40AF" w:rsidRDefault="001D40AF" w:rsidP="0015528A">
      <w:pPr>
        <w:pStyle w:val="Default"/>
        <w:rPr>
          <w:sz w:val="22"/>
          <w:szCs w:val="22"/>
        </w:rPr>
      </w:pPr>
    </w:p>
    <w:p w:rsidR="006328FD" w:rsidRPr="00390E4C" w:rsidRDefault="006328FD" w:rsidP="006328FD">
      <w:pPr>
        <w:pStyle w:val="Default"/>
        <w:rPr>
          <w:color w:val="990033"/>
        </w:rPr>
      </w:pPr>
      <w:r w:rsidRPr="00390E4C">
        <w:rPr>
          <w:b/>
          <w:color w:val="990033"/>
        </w:rPr>
        <w:t>Key Auditing Standards</w:t>
      </w:r>
      <w:r w:rsidR="003E6F5B" w:rsidRPr="00390E4C">
        <w:rPr>
          <w:b/>
          <w:color w:val="990033"/>
        </w:rPr>
        <w:t xml:space="preserve"> in the </w:t>
      </w:r>
      <w:r w:rsidRPr="00390E4C">
        <w:rPr>
          <w:b/>
          <w:bCs/>
          <w:color w:val="990033"/>
        </w:rPr>
        <w:t xml:space="preserve">Audit of Fundraising Revenue </w:t>
      </w:r>
    </w:p>
    <w:p w:rsidR="003E6F5B" w:rsidRPr="00390E4C" w:rsidRDefault="003E6F5B" w:rsidP="006328FD">
      <w:pPr>
        <w:pStyle w:val="Default"/>
        <w:rPr>
          <w:bCs/>
          <w:color w:val="auto"/>
          <w:sz w:val="22"/>
          <w:szCs w:val="22"/>
        </w:rPr>
      </w:pPr>
    </w:p>
    <w:p w:rsidR="00390E4C" w:rsidRPr="004F563B" w:rsidRDefault="00390E4C" w:rsidP="006328FD">
      <w:pPr>
        <w:pStyle w:val="Default"/>
        <w:rPr>
          <w:b/>
          <w:bCs/>
          <w:color w:val="808080" w:themeColor="background1" w:themeShade="80"/>
          <w:sz w:val="22"/>
          <w:szCs w:val="22"/>
        </w:rPr>
      </w:pPr>
      <w:r w:rsidRPr="004F563B">
        <w:rPr>
          <w:b/>
          <w:bCs/>
          <w:color w:val="808080" w:themeColor="background1" w:themeShade="80"/>
          <w:sz w:val="22"/>
          <w:szCs w:val="22"/>
        </w:rPr>
        <w:t>Audit Planning</w:t>
      </w:r>
    </w:p>
    <w:p w:rsidR="00390E4C" w:rsidRPr="00C54E3F" w:rsidRDefault="00390E4C" w:rsidP="006328FD">
      <w:pPr>
        <w:pStyle w:val="Default"/>
        <w:rPr>
          <w:bCs/>
          <w:color w:val="auto"/>
          <w:sz w:val="22"/>
          <w:szCs w:val="22"/>
        </w:rPr>
      </w:pPr>
    </w:p>
    <w:p w:rsidR="003E6F5B" w:rsidRPr="00C54E3F" w:rsidRDefault="003E6F5B" w:rsidP="00390E4C">
      <w:pPr>
        <w:pStyle w:val="Default"/>
        <w:rPr>
          <w:sz w:val="22"/>
          <w:szCs w:val="22"/>
        </w:rPr>
      </w:pPr>
      <w:r w:rsidRPr="00C54E3F">
        <w:rPr>
          <w:sz w:val="22"/>
          <w:szCs w:val="22"/>
        </w:rPr>
        <w:t xml:space="preserve">In forming an opinion on management’s assertions about whether fundraising revenue is presented fairly in all material respects, an audit plan </w:t>
      </w:r>
      <w:r w:rsidR="000432CA" w:rsidRPr="00C54E3F">
        <w:rPr>
          <w:sz w:val="22"/>
          <w:szCs w:val="22"/>
        </w:rPr>
        <w:t xml:space="preserve">is developed </w:t>
      </w:r>
      <w:r w:rsidRPr="00C54E3F">
        <w:rPr>
          <w:sz w:val="22"/>
          <w:szCs w:val="22"/>
        </w:rPr>
        <w:t>based on an assessment of</w:t>
      </w:r>
      <w:r w:rsidR="00390E4C" w:rsidRPr="00C54E3F">
        <w:rPr>
          <w:sz w:val="22"/>
          <w:szCs w:val="22"/>
        </w:rPr>
        <w:t xml:space="preserve"> the following</w:t>
      </w:r>
      <w:r w:rsidRPr="00C54E3F">
        <w:rPr>
          <w:sz w:val="22"/>
          <w:szCs w:val="22"/>
        </w:rPr>
        <w:t xml:space="preserve">: </w:t>
      </w:r>
    </w:p>
    <w:p w:rsidR="003E6F5B" w:rsidRPr="00C54E3F" w:rsidRDefault="003E6F5B" w:rsidP="006328FD">
      <w:pPr>
        <w:pStyle w:val="Default"/>
        <w:rPr>
          <w:bCs/>
          <w:color w:val="auto"/>
          <w:sz w:val="22"/>
          <w:szCs w:val="22"/>
        </w:rPr>
      </w:pPr>
    </w:p>
    <w:tbl>
      <w:tblPr>
        <w:tblStyle w:val="TableGrid"/>
        <w:tblW w:w="0" w:type="auto"/>
        <w:tblLook w:val="04A0"/>
      </w:tblPr>
      <w:tblGrid>
        <w:gridCol w:w="2093"/>
        <w:gridCol w:w="3192"/>
        <w:gridCol w:w="3754"/>
      </w:tblGrid>
      <w:tr w:rsidR="003E6F5B" w:rsidRPr="00390E4C" w:rsidTr="00390E4C">
        <w:tc>
          <w:tcPr>
            <w:tcW w:w="2093" w:type="dxa"/>
          </w:tcPr>
          <w:p w:rsidR="003E6F5B" w:rsidRPr="00C54E3F" w:rsidRDefault="003E6F5B" w:rsidP="003E6F5B">
            <w:pPr>
              <w:pStyle w:val="Default"/>
              <w:rPr>
                <w:b/>
                <w:color w:val="990033"/>
                <w:sz w:val="22"/>
                <w:szCs w:val="22"/>
              </w:rPr>
            </w:pPr>
            <w:r w:rsidRPr="00C54E3F">
              <w:rPr>
                <w:b/>
                <w:color w:val="990033"/>
                <w:sz w:val="22"/>
                <w:szCs w:val="22"/>
              </w:rPr>
              <w:t>Assessment Topic</w:t>
            </w:r>
          </w:p>
        </w:tc>
        <w:tc>
          <w:tcPr>
            <w:tcW w:w="3192" w:type="dxa"/>
          </w:tcPr>
          <w:p w:rsidR="003E6F5B" w:rsidRPr="00C54E3F" w:rsidRDefault="003E6F5B" w:rsidP="006328FD">
            <w:pPr>
              <w:pStyle w:val="Default"/>
              <w:rPr>
                <w:b/>
                <w:color w:val="990033"/>
                <w:sz w:val="22"/>
                <w:szCs w:val="22"/>
              </w:rPr>
            </w:pPr>
            <w:r w:rsidRPr="00C54E3F">
              <w:rPr>
                <w:b/>
                <w:color w:val="990033"/>
                <w:sz w:val="22"/>
                <w:szCs w:val="22"/>
              </w:rPr>
              <w:t>Relevant Standard</w:t>
            </w:r>
          </w:p>
        </w:tc>
        <w:tc>
          <w:tcPr>
            <w:tcW w:w="3754" w:type="dxa"/>
          </w:tcPr>
          <w:p w:rsidR="003E6F5B" w:rsidRPr="00C54E3F" w:rsidRDefault="003E6F5B" w:rsidP="006328FD">
            <w:pPr>
              <w:pStyle w:val="Default"/>
              <w:rPr>
                <w:b/>
                <w:color w:val="990033"/>
                <w:sz w:val="22"/>
                <w:szCs w:val="22"/>
              </w:rPr>
            </w:pPr>
            <w:r w:rsidRPr="00C54E3F">
              <w:rPr>
                <w:b/>
                <w:color w:val="990033"/>
                <w:sz w:val="22"/>
                <w:szCs w:val="22"/>
              </w:rPr>
              <w:t>Assessment Processes</w:t>
            </w:r>
          </w:p>
        </w:tc>
      </w:tr>
      <w:tr w:rsidR="003E6F5B" w:rsidTr="00390E4C">
        <w:tc>
          <w:tcPr>
            <w:tcW w:w="2093" w:type="dxa"/>
          </w:tcPr>
          <w:p w:rsidR="003E6F5B" w:rsidRPr="00F24948" w:rsidRDefault="003E6F5B" w:rsidP="003E6F5B">
            <w:pPr>
              <w:pStyle w:val="Default"/>
              <w:rPr>
                <w:color w:val="808080" w:themeColor="background1" w:themeShade="80"/>
                <w:sz w:val="22"/>
                <w:szCs w:val="22"/>
              </w:rPr>
            </w:pPr>
            <w:r w:rsidRPr="00F24948">
              <w:rPr>
                <w:color w:val="808080" w:themeColor="background1" w:themeShade="80"/>
                <w:sz w:val="22"/>
                <w:szCs w:val="22"/>
              </w:rPr>
              <w:t xml:space="preserve">Inherent and control </w:t>
            </w:r>
            <w:r w:rsidRPr="00F24948">
              <w:rPr>
                <w:color w:val="808080" w:themeColor="background1" w:themeShade="80"/>
                <w:sz w:val="22"/>
                <w:szCs w:val="22"/>
              </w:rPr>
              <w:lastRenderedPageBreak/>
              <w:t>risk</w:t>
            </w:r>
          </w:p>
        </w:tc>
        <w:tc>
          <w:tcPr>
            <w:tcW w:w="3192" w:type="dxa"/>
          </w:tcPr>
          <w:p w:rsidR="003E6F5B" w:rsidRPr="00C54E3F" w:rsidRDefault="003E6F5B" w:rsidP="006328FD">
            <w:pPr>
              <w:pStyle w:val="Default"/>
              <w:rPr>
                <w:sz w:val="22"/>
                <w:szCs w:val="22"/>
              </w:rPr>
            </w:pPr>
            <w:r w:rsidRPr="00C54E3F">
              <w:rPr>
                <w:sz w:val="22"/>
                <w:szCs w:val="22"/>
              </w:rPr>
              <w:lastRenderedPageBreak/>
              <w:t>ASA 315 ‘</w:t>
            </w:r>
            <w:r w:rsidRPr="00C54E3F">
              <w:rPr>
                <w:iCs/>
                <w:sz w:val="22"/>
                <w:szCs w:val="22"/>
              </w:rPr>
              <w:t xml:space="preserve">Identifying and </w:t>
            </w:r>
            <w:r w:rsidRPr="00C54E3F">
              <w:rPr>
                <w:iCs/>
                <w:sz w:val="22"/>
                <w:szCs w:val="22"/>
              </w:rPr>
              <w:lastRenderedPageBreak/>
              <w:t>Assessing the Risks of Material Misstatement through Understanding the Entity and Its Environment’</w:t>
            </w:r>
          </w:p>
        </w:tc>
        <w:tc>
          <w:tcPr>
            <w:tcW w:w="3754" w:type="dxa"/>
          </w:tcPr>
          <w:p w:rsidR="003E6F5B" w:rsidRPr="00C54E3F" w:rsidRDefault="003E6F5B" w:rsidP="003E6F5B">
            <w:pPr>
              <w:pStyle w:val="Default"/>
              <w:numPr>
                <w:ilvl w:val="0"/>
                <w:numId w:val="7"/>
              </w:numPr>
              <w:rPr>
                <w:sz w:val="22"/>
                <w:szCs w:val="22"/>
              </w:rPr>
            </w:pPr>
            <w:r w:rsidRPr="00C54E3F">
              <w:rPr>
                <w:sz w:val="22"/>
                <w:szCs w:val="22"/>
              </w:rPr>
              <w:lastRenderedPageBreak/>
              <w:t xml:space="preserve">Assess inherent risk </w:t>
            </w:r>
          </w:p>
          <w:p w:rsidR="003E6F5B" w:rsidRPr="00C54E3F" w:rsidRDefault="003E6F5B" w:rsidP="003E6F5B">
            <w:pPr>
              <w:pStyle w:val="Default"/>
              <w:numPr>
                <w:ilvl w:val="0"/>
                <w:numId w:val="7"/>
              </w:numPr>
              <w:rPr>
                <w:sz w:val="22"/>
                <w:szCs w:val="22"/>
              </w:rPr>
            </w:pPr>
            <w:r w:rsidRPr="00C54E3F">
              <w:rPr>
                <w:sz w:val="22"/>
                <w:szCs w:val="22"/>
              </w:rPr>
              <w:lastRenderedPageBreak/>
              <w:t>Obtain an understanding of the internal control structure to assess control risk</w:t>
            </w:r>
          </w:p>
          <w:p w:rsidR="003E6F5B" w:rsidRPr="00C54E3F" w:rsidRDefault="003E6F5B" w:rsidP="003E6F5B">
            <w:pPr>
              <w:pStyle w:val="Default"/>
              <w:numPr>
                <w:ilvl w:val="0"/>
                <w:numId w:val="7"/>
              </w:numPr>
              <w:rPr>
                <w:sz w:val="22"/>
                <w:szCs w:val="22"/>
              </w:rPr>
            </w:pPr>
            <w:r w:rsidRPr="00C54E3F">
              <w:rPr>
                <w:sz w:val="22"/>
                <w:szCs w:val="22"/>
              </w:rPr>
              <w:t>Determine whether the evaluation and testing of controls and the application of substantive tests will reduce assurance engagement risk to an acceptably low level with respect to the assertions about the completeness and recording of fundraising revenue</w:t>
            </w:r>
          </w:p>
        </w:tc>
      </w:tr>
      <w:tr w:rsidR="003E6F5B" w:rsidTr="00390E4C">
        <w:tc>
          <w:tcPr>
            <w:tcW w:w="2093" w:type="dxa"/>
          </w:tcPr>
          <w:p w:rsidR="003E6F5B" w:rsidRPr="00F24948" w:rsidRDefault="000C4AE9" w:rsidP="000C4AE9">
            <w:pPr>
              <w:pStyle w:val="Default"/>
              <w:rPr>
                <w:color w:val="808080" w:themeColor="background1" w:themeShade="80"/>
                <w:sz w:val="22"/>
                <w:szCs w:val="22"/>
              </w:rPr>
            </w:pPr>
            <w:r w:rsidRPr="00F24948">
              <w:rPr>
                <w:color w:val="808080" w:themeColor="background1" w:themeShade="80"/>
                <w:sz w:val="22"/>
                <w:szCs w:val="22"/>
              </w:rPr>
              <w:lastRenderedPageBreak/>
              <w:t>F</w:t>
            </w:r>
            <w:r w:rsidR="003E6F5B" w:rsidRPr="00F24948">
              <w:rPr>
                <w:color w:val="808080" w:themeColor="background1" w:themeShade="80"/>
                <w:sz w:val="22"/>
                <w:szCs w:val="22"/>
              </w:rPr>
              <w:t>raud risk</w:t>
            </w:r>
          </w:p>
        </w:tc>
        <w:tc>
          <w:tcPr>
            <w:tcW w:w="3192" w:type="dxa"/>
          </w:tcPr>
          <w:p w:rsidR="003E6F5B" w:rsidRPr="00C54E3F" w:rsidRDefault="003E6F5B" w:rsidP="006328FD">
            <w:pPr>
              <w:pStyle w:val="Default"/>
              <w:rPr>
                <w:iCs/>
                <w:sz w:val="22"/>
                <w:szCs w:val="22"/>
              </w:rPr>
            </w:pPr>
            <w:r w:rsidRPr="00C54E3F">
              <w:rPr>
                <w:sz w:val="22"/>
                <w:szCs w:val="22"/>
              </w:rPr>
              <w:t>ASA 240 ‘</w:t>
            </w:r>
            <w:r w:rsidRPr="00C54E3F">
              <w:rPr>
                <w:iCs/>
                <w:sz w:val="22"/>
                <w:szCs w:val="22"/>
              </w:rPr>
              <w:t>The Auditor’s Responsibilities Relating to Fraud in an Audit of a Financial Report’</w:t>
            </w:r>
          </w:p>
          <w:p w:rsidR="00390E4C" w:rsidRPr="00C54E3F" w:rsidRDefault="00390E4C" w:rsidP="006328FD">
            <w:pPr>
              <w:pStyle w:val="Default"/>
              <w:rPr>
                <w:iCs/>
                <w:sz w:val="22"/>
                <w:szCs w:val="22"/>
              </w:rPr>
            </w:pPr>
          </w:p>
          <w:p w:rsidR="00390E4C" w:rsidRPr="00C54E3F" w:rsidRDefault="00390E4C" w:rsidP="00390E4C">
            <w:pPr>
              <w:pStyle w:val="Default"/>
              <w:rPr>
                <w:sz w:val="22"/>
                <w:szCs w:val="22"/>
              </w:rPr>
            </w:pPr>
            <w:r w:rsidRPr="00C54E3F">
              <w:rPr>
                <w:sz w:val="22"/>
                <w:szCs w:val="22"/>
              </w:rPr>
              <w:t>ASA 240 deems that there are risks of fraud in revenue recognition.</w:t>
            </w:r>
          </w:p>
        </w:tc>
        <w:tc>
          <w:tcPr>
            <w:tcW w:w="3754" w:type="dxa"/>
          </w:tcPr>
          <w:p w:rsidR="007F6B13" w:rsidRPr="00C54E3F" w:rsidRDefault="00390E4C" w:rsidP="00EF2651">
            <w:pPr>
              <w:pStyle w:val="Default"/>
              <w:rPr>
                <w:sz w:val="22"/>
                <w:szCs w:val="22"/>
              </w:rPr>
            </w:pPr>
            <w:r w:rsidRPr="00C54E3F">
              <w:rPr>
                <w:sz w:val="22"/>
                <w:szCs w:val="22"/>
              </w:rPr>
              <w:t>P</w:t>
            </w:r>
            <w:r w:rsidR="003E6F5B" w:rsidRPr="00C54E3F">
              <w:rPr>
                <w:sz w:val="22"/>
                <w:szCs w:val="22"/>
              </w:rPr>
              <w:t>erform procedures</w:t>
            </w:r>
            <w:r w:rsidRPr="00C54E3F">
              <w:rPr>
                <w:sz w:val="22"/>
                <w:szCs w:val="22"/>
              </w:rPr>
              <w:t xml:space="preserve"> as required by ASA.240.17-</w:t>
            </w:r>
            <w:r w:rsidR="00FC49AD" w:rsidRPr="00C54E3F">
              <w:rPr>
                <w:sz w:val="22"/>
                <w:szCs w:val="22"/>
              </w:rPr>
              <w:t>.</w:t>
            </w:r>
            <w:r w:rsidR="001A1339" w:rsidRPr="00C54E3F">
              <w:rPr>
                <w:sz w:val="22"/>
                <w:szCs w:val="22"/>
              </w:rPr>
              <w:t>29</w:t>
            </w:r>
            <w:r w:rsidR="003E6F5B" w:rsidRPr="00C54E3F">
              <w:rPr>
                <w:sz w:val="22"/>
                <w:szCs w:val="22"/>
              </w:rPr>
              <w:t xml:space="preserve"> obtain information for use in identifying, assessing and responding to risks of material misstatement due to fraud</w:t>
            </w:r>
            <w:r w:rsidRPr="00C54E3F">
              <w:rPr>
                <w:sz w:val="22"/>
                <w:szCs w:val="22"/>
              </w:rPr>
              <w:t>.</w:t>
            </w:r>
          </w:p>
          <w:p w:rsidR="00390E4C" w:rsidRPr="00C54E3F" w:rsidRDefault="00390E4C" w:rsidP="00EF2651">
            <w:pPr>
              <w:pStyle w:val="Default"/>
              <w:rPr>
                <w:sz w:val="22"/>
                <w:szCs w:val="22"/>
              </w:rPr>
            </w:pPr>
          </w:p>
          <w:p w:rsidR="003E6F5B" w:rsidRPr="00C54E3F" w:rsidRDefault="00390E4C" w:rsidP="00EF2651">
            <w:pPr>
              <w:pStyle w:val="Default"/>
              <w:rPr>
                <w:sz w:val="22"/>
                <w:szCs w:val="22"/>
              </w:rPr>
            </w:pPr>
            <w:r w:rsidRPr="00C54E3F">
              <w:rPr>
                <w:sz w:val="22"/>
                <w:szCs w:val="22"/>
              </w:rPr>
              <w:t>D</w:t>
            </w:r>
            <w:r w:rsidR="003E6F5B" w:rsidRPr="00C54E3F">
              <w:rPr>
                <w:sz w:val="22"/>
                <w:szCs w:val="22"/>
              </w:rPr>
              <w:t>ocument the</w:t>
            </w:r>
            <w:r w:rsidRPr="00C54E3F">
              <w:rPr>
                <w:sz w:val="22"/>
                <w:szCs w:val="22"/>
              </w:rPr>
              <w:t xml:space="preserve"> audit </w:t>
            </w:r>
            <w:r w:rsidR="003E6F5B" w:rsidRPr="00C54E3F">
              <w:rPr>
                <w:sz w:val="22"/>
                <w:szCs w:val="22"/>
              </w:rPr>
              <w:t xml:space="preserve">conclusion on the risks associated with revenue recognition even if </w:t>
            </w:r>
            <w:r w:rsidRPr="00C54E3F">
              <w:rPr>
                <w:sz w:val="22"/>
                <w:szCs w:val="22"/>
              </w:rPr>
              <w:t>where the conclusion reached</w:t>
            </w:r>
            <w:r w:rsidR="003E6F5B" w:rsidRPr="00C54E3F">
              <w:rPr>
                <w:sz w:val="22"/>
                <w:szCs w:val="22"/>
              </w:rPr>
              <w:t xml:space="preserve"> that it is not applicable in the engagement circumstances</w:t>
            </w:r>
            <w:r w:rsidR="000C4AE9" w:rsidRPr="00C54E3F">
              <w:rPr>
                <w:sz w:val="22"/>
                <w:szCs w:val="22"/>
              </w:rPr>
              <w:t xml:space="preserve"> (</w:t>
            </w:r>
            <w:r w:rsidR="007F6B13" w:rsidRPr="00C54E3F">
              <w:rPr>
                <w:sz w:val="22"/>
                <w:szCs w:val="22"/>
              </w:rPr>
              <w:t>ASA 240</w:t>
            </w:r>
            <w:r w:rsidR="000C4AE9" w:rsidRPr="00C54E3F">
              <w:rPr>
                <w:sz w:val="22"/>
                <w:szCs w:val="22"/>
              </w:rPr>
              <w:t>.26 and .47)</w:t>
            </w:r>
            <w:r w:rsidRPr="00C54E3F">
              <w:rPr>
                <w:sz w:val="22"/>
                <w:szCs w:val="22"/>
              </w:rPr>
              <w:t>.</w:t>
            </w:r>
            <w:r w:rsidR="007F6B13" w:rsidRPr="00C54E3F">
              <w:rPr>
                <w:sz w:val="22"/>
                <w:szCs w:val="22"/>
              </w:rPr>
              <w:t xml:space="preserve"> </w:t>
            </w:r>
          </w:p>
        </w:tc>
      </w:tr>
      <w:tr w:rsidR="003E6F5B" w:rsidTr="00390E4C">
        <w:tc>
          <w:tcPr>
            <w:tcW w:w="2093" w:type="dxa"/>
          </w:tcPr>
          <w:p w:rsidR="003E6F5B" w:rsidRPr="00F24948" w:rsidRDefault="000C4AE9" w:rsidP="000C4AE9">
            <w:pPr>
              <w:pStyle w:val="Default"/>
              <w:rPr>
                <w:color w:val="808080" w:themeColor="background1" w:themeShade="80"/>
                <w:sz w:val="22"/>
                <w:szCs w:val="22"/>
              </w:rPr>
            </w:pPr>
            <w:r w:rsidRPr="00F24948">
              <w:rPr>
                <w:color w:val="808080" w:themeColor="background1" w:themeShade="80"/>
                <w:sz w:val="22"/>
                <w:szCs w:val="22"/>
              </w:rPr>
              <w:t>Materiality of fundraising revenue</w:t>
            </w:r>
          </w:p>
        </w:tc>
        <w:tc>
          <w:tcPr>
            <w:tcW w:w="3192" w:type="dxa"/>
          </w:tcPr>
          <w:p w:rsidR="000C4AE9" w:rsidRPr="00C54E3F" w:rsidRDefault="000C4AE9" w:rsidP="00C54E3F">
            <w:pPr>
              <w:pStyle w:val="Default"/>
              <w:rPr>
                <w:sz w:val="22"/>
                <w:szCs w:val="22"/>
              </w:rPr>
            </w:pPr>
            <w:r w:rsidRPr="00C54E3F">
              <w:rPr>
                <w:sz w:val="22"/>
                <w:szCs w:val="22"/>
              </w:rPr>
              <w:t>ASA 320 ‘</w:t>
            </w:r>
            <w:r w:rsidRPr="00C54E3F">
              <w:rPr>
                <w:iCs/>
                <w:sz w:val="22"/>
                <w:szCs w:val="22"/>
              </w:rPr>
              <w:t xml:space="preserve">Materiality in Planning and Performing an Audit’ </w:t>
            </w:r>
            <w:r w:rsidRPr="00C54E3F">
              <w:rPr>
                <w:sz w:val="22"/>
                <w:szCs w:val="22"/>
              </w:rPr>
              <w:t xml:space="preserve">and the discussion of materiality in Accounting Standards AASB 1031 </w:t>
            </w:r>
            <w:r w:rsidR="00C54E3F">
              <w:rPr>
                <w:sz w:val="22"/>
                <w:szCs w:val="22"/>
              </w:rPr>
              <w:t>‘</w:t>
            </w:r>
            <w:r w:rsidRPr="00C54E3F">
              <w:rPr>
                <w:iCs/>
                <w:sz w:val="22"/>
                <w:szCs w:val="22"/>
              </w:rPr>
              <w:t>Materiality</w:t>
            </w:r>
            <w:r w:rsidR="00C54E3F">
              <w:rPr>
                <w:iCs/>
                <w:sz w:val="22"/>
                <w:szCs w:val="22"/>
              </w:rPr>
              <w:t>’</w:t>
            </w:r>
            <w:r w:rsidRPr="00C54E3F">
              <w:rPr>
                <w:iCs/>
                <w:sz w:val="22"/>
                <w:szCs w:val="22"/>
              </w:rPr>
              <w:t>.</w:t>
            </w:r>
          </w:p>
        </w:tc>
        <w:tc>
          <w:tcPr>
            <w:tcW w:w="3754" w:type="dxa"/>
          </w:tcPr>
          <w:p w:rsidR="000C4AE9" w:rsidRPr="00C54E3F" w:rsidRDefault="000C4AE9" w:rsidP="000C4AE9">
            <w:pPr>
              <w:pStyle w:val="Default"/>
              <w:ind w:firstLine="1"/>
              <w:rPr>
                <w:sz w:val="22"/>
                <w:szCs w:val="22"/>
              </w:rPr>
            </w:pPr>
            <w:r w:rsidRPr="00C54E3F">
              <w:rPr>
                <w:sz w:val="22"/>
                <w:szCs w:val="22"/>
              </w:rPr>
              <w:t>Consider the importance of qualitative factors includ</w:t>
            </w:r>
            <w:r w:rsidR="00390E4C" w:rsidRPr="00C54E3F">
              <w:rPr>
                <w:sz w:val="22"/>
                <w:szCs w:val="22"/>
              </w:rPr>
              <w:t>ing</w:t>
            </w:r>
            <w:r w:rsidRPr="00C54E3F">
              <w:rPr>
                <w:sz w:val="22"/>
                <w:szCs w:val="22"/>
              </w:rPr>
              <w:t>:</w:t>
            </w:r>
          </w:p>
          <w:p w:rsidR="000C4AE9" w:rsidRPr="00C54E3F" w:rsidRDefault="000C4AE9" w:rsidP="000C4AE9">
            <w:pPr>
              <w:pStyle w:val="Default"/>
              <w:numPr>
                <w:ilvl w:val="0"/>
                <w:numId w:val="8"/>
              </w:numPr>
              <w:rPr>
                <w:sz w:val="22"/>
                <w:szCs w:val="22"/>
              </w:rPr>
            </w:pPr>
            <w:r w:rsidRPr="00C54E3F">
              <w:rPr>
                <w:sz w:val="22"/>
                <w:szCs w:val="22"/>
              </w:rPr>
              <w:t>Governing documents or reporting frameworks prescribing specific recognition and/or disclosure requirements in the financial report</w:t>
            </w:r>
          </w:p>
          <w:p w:rsidR="000C4AE9" w:rsidRPr="00C54E3F" w:rsidRDefault="000C4AE9" w:rsidP="000C4AE9">
            <w:pPr>
              <w:pStyle w:val="Default"/>
              <w:numPr>
                <w:ilvl w:val="0"/>
                <w:numId w:val="8"/>
              </w:numPr>
              <w:rPr>
                <w:sz w:val="22"/>
                <w:szCs w:val="22"/>
              </w:rPr>
            </w:pPr>
            <w:r w:rsidRPr="00C54E3F">
              <w:rPr>
                <w:sz w:val="22"/>
                <w:szCs w:val="22"/>
              </w:rPr>
              <w:t>Whether law, regulation or the applicable financial reporting framework affect users’ expectations regarding the measurement or disclosure of certain items</w:t>
            </w:r>
          </w:p>
          <w:p w:rsidR="000C4AE9" w:rsidRPr="00C54E3F" w:rsidRDefault="000C4AE9" w:rsidP="000C4AE9">
            <w:pPr>
              <w:pStyle w:val="Default"/>
              <w:numPr>
                <w:ilvl w:val="0"/>
                <w:numId w:val="8"/>
              </w:numPr>
              <w:rPr>
                <w:sz w:val="22"/>
                <w:szCs w:val="22"/>
              </w:rPr>
            </w:pPr>
            <w:r w:rsidRPr="00C54E3F">
              <w:rPr>
                <w:sz w:val="22"/>
                <w:szCs w:val="22"/>
              </w:rPr>
              <w:t>Key disclosures in relation to the industry in which the entity operates</w:t>
            </w:r>
          </w:p>
          <w:p w:rsidR="000C4AE9" w:rsidRPr="00C54E3F" w:rsidRDefault="000C4AE9" w:rsidP="000C4AE9">
            <w:pPr>
              <w:pStyle w:val="Default"/>
              <w:numPr>
                <w:ilvl w:val="0"/>
                <w:numId w:val="8"/>
              </w:numPr>
              <w:rPr>
                <w:sz w:val="22"/>
                <w:szCs w:val="22"/>
              </w:rPr>
            </w:pPr>
            <w:r w:rsidRPr="00C54E3F">
              <w:rPr>
                <w:sz w:val="22"/>
                <w:szCs w:val="22"/>
              </w:rPr>
              <w:t>Whether attention is focused on a particular aspect of the entity’s business that is separately disclosed in the financial report</w:t>
            </w:r>
            <w:r w:rsidR="00390E4C" w:rsidRPr="00C54E3F">
              <w:rPr>
                <w:sz w:val="22"/>
                <w:szCs w:val="22"/>
              </w:rPr>
              <w:t>,</w:t>
            </w:r>
            <w:r w:rsidRPr="00C54E3F">
              <w:rPr>
                <w:sz w:val="22"/>
                <w:szCs w:val="22"/>
              </w:rPr>
              <w:t xml:space="preserve"> and</w:t>
            </w:r>
          </w:p>
          <w:p w:rsidR="003E6F5B" w:rsidRPr="00C54E3F" w:rsidRDefault="000C4AE9" w:rsidP="000C4AE9">
            <w:pPr>
              <w:pStyle w:val="Default"/>
              <w:numPr>
                <w:ilvl w:val="0"/>
                <w:numId w:val="8"/>
              </w:numPr>
              <w:rPr>
                <w:sz w:val="22"/>
                <w:szCs w:val="22"/>
              </w:rPr>
            </w:pPr>
            <w:r w:rsidRPr="00C54E3F">
              <w:rPr>
                <w:sz w:val="22"/>
                <w:szCs w:val="22"/>
              </w:rPr>
              <w:t xml:space="preserve">Indicators of deviations from normal activities such as the reversal of a trend, turning a loss into a profit or creating or eliminating the net asset position in the balance sheet. </w:t>
            </w:r>
          </w:p>
        </w:tc>
      </w:tr>
      <w:tr w:rsidR="006B30C8" w:rsidTr="00390E4C">
        <w:tc>
          <w:tcPr>
            <w:tcW w:w="2093" w:type="dxa"/>
          </w:tcPr>
          <w:p w:rsidR="006B30C8" w:rsidRPr="00F24948" w:rsidRDefault="006B30C8" w:rsidP="006B30C8">
            <w:pPr>
              <w:pStyle w:val="Default"/>
              <w:rPr>
                <w:color w:val="808080" w:themeColor="background1" w:themeShade="80"/>
                <w:sz w:val="22"/>
                <w:szCs w:val="22"/>
              </w:rPr>
            </w:pPr>
            <w:r w:rsidRPr="00F24948">
              <w:rPr>
                <w:color w:val="808080" w:themeColor="background1" w:themeShade="80"/>
                <w:sz w:val="22"/>
                <w:szCs w:val="22"/>
              </w:rPr>
              <w:t xml:space="preserve">Response to assessed </w:t>
            </w:r>
            <w:r w:rsidRPr="00F24948">
              <w:rPr>
                <w:color w:val="808080" w:themeColor="background1" w:themeShade="80"/>
                <w:sz w:val="22"/>
                <w:szCs w:val="22"/>
              </w:rPr>
              <w:lastRenderedPageBreak/>
              <w:t>Risks</w:t>
            </w:r>
          </w:p>
        </w:tc>
        <w:tc>
          <w:tcPr>
            <w:tcW w:w="3192" w:type="dxa"/>
          </w:tcPr>
          <w:p w:rsidR="006B30C8" w:rsidRPr="00C54E3F" w:rsidRDefault="006B30C8" w:rsidP="006328FD">
            <w:pPr>
              <w:pStyle w:val="Default"/>
              <w:rPr>
                <w:sz w:val="22"/>
                <w:szCs w:val="22"/>
              </w:rPr>
            </w:pPr>
            <w:r w:rsidRPr="00C54E3F">
              <w:rPr>
                <w:sz w:val="22"/>
                <w:szCs w:val="22"/>
              </w:rPr>
              <w:lastRenderedPageBreak/>
              <w:t xml:space="preserve">ASA 330 </w:t>
            </w:r>
            <w:r w:rsidRPr="00C54E3F">
              <w:rPr>
                <w:iCs/>
                <w:sz w:val="22"/>
                <w:szCs w:val="22"/>
              </w:rPr>
              <w:t xml:space="preserve">The Auditor’s </w:t>
            </w:r>
            <w:r w:rsidRPr="00C54E3F">
              <w:rPr>
                <w:iCs/>
                <w:sz w:val="22"/>
                <w:szCs w:val="22"/>
              </w:rPr>
              <w:lastRenderedPageBreak/>
              <w:t>Responses to Assessed Risks</w:t>
            </w:r>
          </w:p>
        </w:tc>
        <w:tc>
          <w:tcPr>
            <w:tcW w:w="3754" w:type="dxa"/>
          </w:tcPr>
          <w:p w:rsidR="006B30C8" w:rsidRPr="00C54E3F" w:rsidRDefault="006B30C8" w:rsidP="006B30C8">
            <w:pPr>
              <w:pStyle w:val="Default"/>
              <w:rPr>
                <w:sz w:val="22"/>
                <w:szCs w:val="22"/>
              </w:rPr>
            </w:pPr>
            <w:r w:rsidRPr="00C54E3F">
              <w:rPr>
                <w:sz w:val="22"/>
                <w:szCs w:val="22"/>
              </w:rPr>
              <w:lastRenderedPageBreak/>
              <w:t xml:space="preserve">Design and perform further audit </w:t>
            </w:r>
            <w:r w:rsidRPr="00C54E3F">
              <w:rPr>
                <w:sz w:val="22"/>
                <w:szCs w:val="22"/>
              </w:rPr>
              <w:lastRenderedPageBreak/>
              <w:t>procedures whose nature, timing and extent are based on and are responsive to the assessed risks of material misstatement at the assertion level.</w:t>
            </w:r>
          </w:p>
          <w:p w:rsidR="006B30C8" w:rsidRPr="00C54E3F" w:rsidRDefault="006B30C8" w:rsidP="006B30C8">
            <w:pPr>
              <w:pStyle w:val="Default"/>
              <w:rPr>
                <w:sz w:val="22"/>
                <w:szCs w:val="22"/>
              </w:rPr>
            </w:pPr>
          </w:p>
          <w:p w:rsidR="006B30C8" w:rsidRPr="00C54E3F" w:rsidRDefault="006B30C8" w:rsidP="006B30C8">
            <w:pPr>
              <w:pStyle w:val="Default"/>
              <w:rPr>
                <w:sz w:val="22"/>
                <w:szCs w:val="22"/>
              </w:rPr>
            </w:pPr>
            <w:r w:rsidRPr="00C54E3F">
              <w:rPr>
                <w:sz w:val="22"/>
                <w:szCs w:val="22"/>
              </w:rPr>
              <w:t>In designing these further audit procedures consideration should be given to the likelihood of material misstatement due to the particular characteristics of the relevant class of transactions and whether the risk assessment takes account of relevant controls, their operating effectiveness and the overall responsibility by management/governing body for effectively monitoring these activities/controls, in determining the extent of substantive procedures to be undertaken (ASA 330.8-.23).</w:t>
            </w:r>
          </w:p>
          <w:p w:rsidR="006B30C8" w:rsidRPr="00C54E3F" w:rsidRDefault="006B30C8" w:rsidP="006B30C8">
            <w:pPr>
              <w:pStyle w:val="Default"/>
              <w:rPr>
                <w:sz w:val="22"/>
                <w:szCs w:val="22"/>
              </w:rPr>
            </w:pPr>
          </w:p>
          <w:p w:rsidR="006B30C8" w:rsidRPr="00C54E3F" w:rsidRDefault="006B30C8" w:rsidP="006B30C8">
            <w:pPr>
              <w:pStyle w:val="Default"/>
              <w:rPr>
                <w:sz w:val="22"/>
                <w:szCs w:val="22"/>
              </w:rPr>
            </w:pPr>
            <w:r w:rsidRPr="00C54E3F">
              <w:rPr>
                <w:sz w:val="22"/>
                <w:szCs w:val="22"/>
              </w:rPr>
              <w:t>Evaluate before the conclusion of the audit whether the assessments of the risks of material misstatement at the assertion level remain appropriate and whether sufficient appropriate audit evidence has been obtained (ASA 330.25-.27).</w:t>
            </w:r>
          </w:p>
        </w:tc>
      </w:tr>
    </w:tbl>
    <w:p w:rsidR="003E6F5B" w:rsidRDefault="003E6F5B" w:rsidP="006328FD">
      <w:pPr>
        <w:pStyle w:val="Default"/>
        <w:rPr>
          <w:sz w:val="20"/>
          <w:szCs w:val="20"/>
        </w:rPr>
      </w:pPr>
    </w:p>
    <w:p w:rsidR="000432CA" w:rsidRPr="004F563B" w:rsidRDefault="000432CA" w:rsidP="000432CA">
      <w:pPr>
        <w:pStyle w:val="Default"/>
        <w:rPr>
          <w:color w:val="808080" w:themeColor="background1" w:themeShade="80"/>
          <w:sz w:val="22"/>
          <w:szCs w:val="22"/>
        </w:rPr>
      </w:pPr>
      <w:r w:rsidRPr="004F563B">
        <w:rPr>
          <w:b/>
          <w:bCs/>
          <w:color w:val="808080" w:themeColor="background1" w:themeShade="80"/>
          <w:sz w:val="22"/>
          <w:szCs w:val="22"/>
        </w:rPr>
        <w:t>Completeness of Fundraising Revenue</w:t>
      </w:r>
    </w:p>
    <w:p w:rsidR="000432CA" w:rsidRPr="00C25C98" w:rsidRDefault="000432CA" w:rsidP="000432CA">
      <w:pPr>
        <w:pStyle w:val="Default"/>
        <w:rPr>
          <w:sz w:val="22"/>
          <w:szCs w:val="22"/>
        </w:rPr>
      </w:pPr>
    </w:p>
    <w:p w:rsidR="00C25C98" w:rsidRPr="00C25C98" w:rsidRDefault="00C25C98" w:rsidP="00C25C98">
      <w:pPr>
        <w:pStyle w:val="Default"/>
        <w:rPr>
          <w:sz w:val="22"/>
          <w:szCs w:val="22"/>
        </w:rPr>
      </w:pPr>
      <w:r w:rsidRPr="00C25C98">
        <w:rPr>
          <w:sz w:val="22"/>
          <w:szCs w:val="22"/>
        </w:rPr>
        <w:t>Sufficient appropriate audit evidence needs to be obtained to provide a basis on which to conclude whether the cash donations portion of fundraising revenue is, in all material respects, complete.  In some cases</w:t>
      </w:r>
      <w:r w:rsidR="006B30C8">
        <w:rPr>
          <w:sz w:val="22"/>
          <w:szCs w:val="22"/>
        </w:rPr>
        <w:t>,</w:t>
      </w:r>
      <w:r w:rsidRPr="00C25C98">
        <w:rPr>
          <w:sz w:val="22"/>
          <w:szCs w:val="22"/>
        </w:rPr>
        <w:t xml:space="preserve"> there may be assurance engagement risk that cash donations may not be recorded from all sources, and consequently, materially understated. </w:t>
      </w:r>
    </w:p>
    <w:p w:rsidR="00C25C98" w:rsidRPr="00C25C98" w:rsidRDefault="00C25C98" w:rsidP="000432CA">
      <w:pPr>
        <w:pStyle w:val="Default"/>
        <w:rPr>
          <w:sz w:val="22"/>
          <w:szCs w:val="22"/>
        </w:rPr>
      </w:pPr>
    </w:p>
    <w:p w:rsidR="00B26915" w:rsidRPr="00C25C98" w:rsidRDefault="00B26915" w:rsidP="00B26915">
      <w:pPr>
        <w:pStyle w:val="NoSpacing"/>
        <w:rPr>
          <w:rFonts w:ascii="Times New Roman" w:hAnsi="Times New Roman" w:cs="Times New Roman"/>
        </w:rPr>
      </w:pPr>
      <w:r w:rsidRPr="00C25C98">
        <w:rPr>
          <w:rFonts w:ascii="Times New Roman" w:hAnsi="Times New Roman" w:cs="Times New Roman"/>
        </w:rPr>
        <w:t xml:space="preserve">As the revenue may be derived from, and obtained by, different sources and methods, each source has its own distinct inherent and control risk.  In assessing whether cash donations as a portion of fundraising revenue are properly stated considerations may include an assessment of the following: </w:t>
      </w:r>
    </w:p>
    <w:p w:rsidR="00B26915" w:rsidRPr="00C25C98" w:rsidRDefault="00C25C98" w:rsidP="00C25C98">
      <w:pPr>
        <w:pStyle w:val="NoSpacing"/>
        <w:numPr>
          <w:ilvl w:val="0"/>
          <w:numId w:val="9"/>
        </w:numPr>
        <w:rPr>
          <w:rFonts w:ascii="Times New Roman" w:hAnsi="Times New Roman" w:cs="Times New Roman"/>
        </w:rPr>
      </w:pPr>
      <w:r w:rsidRPr="004F563B">
        <w:rPr>
          <w:rFonts w:ascii="Times New Roman" w:hAnsi="Times New Roman" w:cs="Times New Roman"/>
          <w:i/>
          <w:color w:val="990033"/>
        </w:rPr>
        <w:t>Nature and Source</w:t>
      </w:r>
      <w:r>
        <w:rPr>
          <w:rFonts w:ascii="Times New Roman" w:hAnsi="Times New Roman" w:cs="Times New Roman"/>
        </w:rPr>
        <w:t>:  N</w:t>
      </w:r>
      <w:r w:rsidR="00B26915" w:rsidRPr="00C25C98">
        <w:rPr>
          <w:rFonts w:ascii="Times New Roman" w:hAnsi="Times New Roman" w:cs="Times New Roman"/>
        </w:rPr>
        <w:t xml:space="preserve">ature of the various sources of fundraising revenue, the risks associated with their method of receipt, including any specific risks in the context of the entity’s activities </w:t>
      </w:r>
    </w:p>
    <w:p w:rsidR="00B26915" w:rsidRPr="00C25C98" w:rsidRDefault="00C25C98" w:rsidP="00C25C98">
      <w:pPr>
        <w:pStyle w:val="NoSpacing"/>
        <w:numPr>
          <w:ilvl w:val="0"/>
          <w:numId w:val="9"/>
        </w:numPr>
        <w:rPr>
          <w:rFonts w:ascii="Times New Roman" w:hAnsi="Times New Roman" w:cs="Times New Roman"/>
        </w:rPr>
      </w:pPr>
      <w:r w:rsidRPr="004F563B">
        <w:rPr>
          <w:rFonts w:ascii="Times New Roman" w:hAnsi="Times New Roman" w:cs="Times New Roman"/>
          <w:i/>
          <w:color w:val="990033"/>
        </w:rPr>
        <w:t>Fraud</w:t>
      </w:r>
      <w:r>
        <w:rPr>
          <w:rFonts w:ascii="Times New Roman" w:hAnsi="Times New Roman" w:cs="Times New Roman"/>
        </w:rPr>
        <w:t>:  The l</w:t>
      </w:r>
      <w:r w:rsidR="00B26915" w:rsidRPr="00C25C98">
        <w:rPr>
          <w:rFonts w:ascii="Times New Roman" w:hAnsi="Times New Roman" w:cs="Times New Roman"/>
        </w:rPr>
        <w:t>oss of incoming resources through fraud: the possibility that the records of incoming resources to which it is legally entitled may be incomplete as a result of fraud.</w:t>
      </w:r>
      <w:r w:rsidR="000C61C0">
        <w:rPr>
          <w:rFonts w:ascii="Times New Roman" w:hAnsi="Times New Roman" w:cs="Times New Roman"/>
        </w:rPr>
        <w:t xml:space="preserve"> </w:t>
      </w:r>
      <w:r w:rsidR="00B26915" w:rsidRPr="00C25C98">
        <w:rPr>
          <w:rFonts w:ascii="Times New Roman" w:hAnsi="Times New Roman" w:cs="Times New Roman"/>
        </w:rPr>
        <w:t xml:space="preserve"> A common type of fraud is the diversion of donations to </w:t>
      </w:r>
      <w:r w:rsidR="000C61C0">
        <w:rPr>
          <w:rFonts w:ascii="Times New Roman" w:hAnsi="Times New Roman" w:cs="Times New Roman"/>
        </w:rPr>
        <w:t xml:space="preserve">an account </w:t>
      </w:r>
      <w:r w:rsidR="00B26915" w:rsidRPr="00C25C98">
        <w:rPr>
          <w:rFonts w:ascii="Times New Roman" w:hAnsi="Times New Roman" w:cs="Times New Roman"/>
        </w:rPr>
        <w:t xml:space="preserve">which the </w:t>
      </w:r>
      <w:r w:rsidR="00C54E3F">
        <w:rPr>
          <w:rFonts w:ascii="Times New Roman" w:hAnsi="Times New Roman" w:cs="Times New Roman"/>
        </w:rPr>
        <w:t xml:space="preserve">NPF entity </w:t>
      </w:r>
      <w:r w:rsidR="00B26915" w:rsidRPr="00C25C98">
        <w:rPr>
          <w:rFonts w:ascii="Times New Roman" w:hAnsi="Times New Roman" w:cs="Times New Roman"/>
        </w:rPr>
        <w:t>does not control</w:t>
      </w:r>
    </w:p>
    <w:p w:rsidR="00B26915" w:rsidRPr="00C25C98" w:rsidRDefault="00C25C98" w:rsidP="00C25C98">
      <w:pPr>
        <w:pStyle w:val="NoSpacing"/>
        <w:numPr>
          <w:ilvl w:val="0"/>
          <w:numId w:val="9"/>
        </w:numPr>
        <w:rPr>
          <w:rFonts w:ascii="Times New Roman" w:hAnsi="Times New Roman" w:cs="Times New Roman"/>
        </w:rPr>
      </w:pPr>
      <w:r w:rsidRPr="004F563B">
        <w:rPr>
          <w:rFonts w:ascii="Times New Roman" w:hAnsi="Times New Roman" w:cs="Times New Roman"/>
          <w:i/>
          <w:color w:val="990033"/>
        </w:rPr>
        <w:t>Internal Control</w:t>
      </w:r>
      <w:r>
        <w:rPr>
          <w:rFonts w:ascii="Times New Roman" w:hAnsi="Times New Roman" w:cs="Times New Roman"/>
        </w:rPr>
        <w:t xml:space="preserve">:  </w:t>
      </w:r>
      <w:r w:rsidR="000C61C0">
        <w:rPr>
          <w:rFonts w:ascii="Times New Roman" w:hAnsi="Times New Roman" w:cs="Times New Roman"/>
        </w:rPr>
        <w:t>E</w:t>
      </w:r>
      <w:r w:rsidR="00B26915" w:rsidRPr="00C25C98">
        <w:rPr>
          <w:rFonts w:ascii="Times New Roman" w:hAnsi="Times New Roman" w:cs="Times New Roman"/>
        </w:rPr>
        <w:t>ffectiveness of the controls that are applied, given that some controls can usually be established for each source of fundraising revenue</w:t>
      </w:r>
      <w:r w:rsidR="000C61C0">
        <w:rPr>
          <w:rFonts w:ascii="Times New Roman" w:hAnsi="Times New Roman" w:cs="Times New Roman"/>
        </w:rPr>
        <w:t>,</w:t>
      </w:r>
      <w:r w:rsidR="00B26915" w:rsidRPr="00C25C98">
        <w:rPr>
          <w:rFonts w:ascii="Times New Roman" w:hAnsi="Times New Roman" w:cs="Times New Roman"/>
        </w:rPr>
        <w:t xml:space="preserve"> and </w:t>
      </w:r>
    </w:p>
    <w:p w:rsidR="00B26915" w:rsidRDefault="00C25C98" w:rsidP="00C25C98">
      <w:pPr>
        <w:pStyle w:val="NoSpacing"/>
        <w:numPr>
          <w:ilvl w:val="0"/>
          <w:numId w:val="9"/>
        </w:numPr>
        <w:rPr>
          <w:rFonts w:ascii="Times New Roman" w:hAnsi="Times New Roman" w:cs="Times New Roman"/>
        </w:rPr>
      </w:pPr>
      <w:r w:rsidRPr="004F563B">
        <w:rPr>
          <w:rFonts w:ascii="Times New Roman" w:hAnsi="Times New Roman" w:cs="Times New Roman"/>
          <w:i/>
          <w:color w:val="990033"/>
        </w:rPr>
        <w:t>Materiality</w:t>
      </w:r>
      <w:r>
        <w:rPr>
          <w:rFonts w:ascii="Times New Roman" w:hAnsi="Times New Roman" w:cs="Times New Roman"/>
        </w:rPr>
        <w:t xml:space="preserve">:  </w:t>
      </w:r>
      <w:r w:rsidR="000C61C0">
        <w:rPr>
          <w:rFonts w:ascii="Times New Roman" w:hAnsi="Times New Roman" w:cs="Times New Roman"/>
        </w:rPr>
        <w:t>M</w:t>
      </w:r>
      <w:r w:rsidR="00B26915" w:rsidRPr="00C25C98">
        <w:rPr>
          <w:rFonts w:ascii="Times New Roman" w:hAnsi="Times New Roman" w:cs="Times New Roman"/>
        </w:rPr>
        <w:t xml:space="preserve">ateriality of each source of fundraising revenue in relation to all of entity’s revenue. </w:t>
      </w:r>
    </w:p>
    <w:p w:rsidR="00F46088" w:rsidRPr="005D1D0B" w:rsidRDefault="00F46088" w:rsidP="00F46088">
      <w:pPr>
        <w:pStyle w:val="NoSpacing"/>
        <w:rPr>
          <w:rFonts w:ascii="Times New Roman" w:hAnsi="Times New Roman" w:cs="Times New Roman"/>
        </w:rPr>
      </w:pPr>
    </w:p>
    <w:p w:rsidR="005D1D0B" w:rsidRPr="005D1D0B" w:rsidRDefault="005D1D0B" w:rsidP="005D1D0B">
      <w:pPr>
        <w:pStyle w:val="Default"/>
        <w:rPr>
          <w:sz w:val="22"/>
          <w:szCs w:val="22"/>
        </w:rPr>
      </w:pPr>
      <w:r w:rsidRPr="005D1D0B">
        <w:rPr>
          <w:sz w:val="22"/>
          <w:szCs w:val="22"/>
        </w:rPr>
        <w:t>Example</w:t>
      </w:r>
      <w:r w:rsidR="002C6946">
        <w:rPr>
          <w:sz w:val="22"/>
          <w:szCs w:val="22"/>
        </w:rPr>
        <w:t>s</w:t>
      </w:r>
      <w:r w:rsidRPr="005D1D0B">
        <w:rPr>
          <w:sz w:val="22"/>
          <w:szCs w:val="22"/>
        </w:rPr>
        <w:t xml:space="preserve"> of the risks associated with various sources of fundraising</w:t>
      </w:r>
      <w:r w:rsidR="002C6946">
        <w:rPr>
          <w:sz w:val="22"/>
          <w:szCs w:val="22"/>
        </w:rPr>
        <w:t xml:space="preserve"> are:</w:t>
      </w:r>
    </w:p>
    <w:p w:rsidR="005D1D0B" w:rsidRPr="005D1D0B" w:rsidRDefault="005D1D0B" w:rsidP="005D1D0B">
      <w:pPr>
        <w:pStyle w:val="Default"/>
        <w:rPr>
          <w:sz w:val="22"/>
          <w:szCs w:val="22"/>
        </w:rPr>
      </w:pPr>
    </w:p>
    <w:tbl>
      <w:tblPr>
        <w:tblStyle w:val="TableGrid"/>
        <w:tblW w:w="9039" w:type="dxa"/>
        <w:tblLook w:val="04A0"/>
      </w:tblPr>
      <w:tblGrid>
        <w:gridCol w:w="3369"/>
        <w:gridCol w:w="5670"/>
      </w:tblGrid>
      <w:tr w:rsidR="005D1D0B" w:rsidRPr="005D1D0B" w:rsidTr="00495848">
        <w:tc>
          <w:tcPr>
            <w:tcW w:w="3369" w:type="dxa"/>
          </w:tcPr>
          <w:p w:rsidR="005D1D0B" w:rsidRPr="005D1D0B" w:rsidRDefault="005D1D0B" w:rsidP="00486DAE">
            <w:pPr>
              <w:pStyle w:val="Default"/>
              <w:rPr>
                <w:b/>
                <w:color w:val="990033"/>
                <w:sz w:val="22"/>
                <w:szCs w:val="22"/>
              </w:rPr>
            </w:pPr>
            <w:r w:rsidRPr="005D1D0B">
              <w:rPr>
                <w:b/>
                <w:color w:val="990033"/>
                <w:sz w:val="22"/>
                <w:szCs w:val="22"/>
              </w:rPr>
              <w:lastRenderedPageBreak/>
              <w:t xml:space="preserve">Fundraising Source </w:t>
            </w:r>
          </w:p>
        </w:tc>
        <w:tc>
          <w:tcPr>
            <w:tcW w:w="5670" w:type="dxa"/>
          </w:tcPr>
          <w:p w:rsidR="005D1D0B" w:rsidRPr="005D1D0B" w:rsidRDefault="005D1D0B" w:rsidP="005D1D0B">
            <w:pPr>
              <w:pStyle w:val="Default"/>
              <w:rPr>
                <w:b/>
                <w:color w:val="990033"/>
                <w:sz w:val="22"/>
                <w:szCs w:val="22"/>
              </w:rPr>
            </w:pPr>
            <w:r w:rsidRPr="005D1D0B">
              <w:rPr>
                <w:b/>
                <w:color w:val="990033"/>
                <w:sz w:val="22"/>
                <w:szCs w:val="22"/>
              </w:rPr>
              <w:t>Risk</w:t>
            </w:r>
          </w:p>
        </w:tc>
      </w:tr>
      <w:tr w:rsidR="005D1D0B" w:rsidRPr="005D1D0B" w:rsidTr="00495848">
        <w:tc>
          <w:tcPr>
            <w:tcW w:w="3369" w:type="dxa"/>
          </w:tcPr>
          <w:p w:rsidR="005D1D0B" w:rsidRPr="00F24948" w:rsidRDefault="005D1D0B" w:rsidP="00486DAE">
            <w:pPr>
              <w:pStyle w:val="Default"/>
              <w:rPr>
                <w:bCs/>
                <w:color w:val="808080" w:themeColor="background1" w:themeShade="80"/>
                <w:sz w:val="22"/>
                <w:szCs w:val="22"/>
              </w:rPr>
            </w:pPr>
            <w:r w:rsidRPr="00F24948">
              <w:rPr>
                <w:bCs/>
                <w:color w:val="808080" w:themeColor="background1" w:themeShade="80"/>
                <w:sz w:val="22"/>
                <w:szCs w:val="22"/>
              </w:rPr>
              <w:t>Cash donations –</w:t>
            </w:r>
          </w:p>
          <w:p w:rsidR="005D1D0B" w:rsidRPr="00F24948" w:rsidRDefault="005D1D0B" w:rsidP="00486DAE">
            <w:pPr>
              <w:pStyle w:val="Default"/>
              <w:rPr>
                <w:color w:val="808080" w:themeColor="background1" w:themeShade="80"/>
                <w:sz w:val="22"/>
                <w:szCs w:val="22"/>
              </w:rPr>
            </w:pPr>
            <w:r w:rsidRPr="00F24948">
              <w:rPr>
                <w:color w:val="808080" w:themeColor="background1" w:themeShade="80"/>
                <w:sz w:val="22"/>
                <w:szCs w:val="22"/>
              </w:rPr>
              <w:t>Direct cash donations (e.g. door-to-door or street collection, or small special events e.g. raffle)</w:t>
            </w:r>
            <w:r w:rsidRPr="00F24948">
              <w:rPr>
                <w:bCs/>
                <w:color w:val="808080" w:themeColor="background1" w:themeShade="80"/>
                <w:sz w:val="22"/>
                <w:szCs w:val="22"/>
              </w:rPr>
              <w:t xml:space="preserve"> </w:t>
            </w:r>
          </w:p>
        </w:tc>
        <w:tc>
          <w:tcPr>
            <w:tcW w:w="5670" w:type="dxa"/>
          </w:tcPr>
          <w:p w:rsidR="005D1D0B" w:rsidRPr="005D1D0B" w:rsidRDefault="005D1D0B" w:rsidP="00495848">
            <w:pPr>
              <w:pStyle w:val="Default"/>
              <w:rPr>
                <w:sz w:val="22"/>
                <w:szCs w:val="22"/>
              </w:rPr>
            </w:pPr>
            <w:r w:rsidRPr="005D1D0B">
              <w:rPr>
                <w:sz w:val="22"/>
                <w:szCs w:val="22"/>
              </w:rPr>
              <w:t>Cash donations are susceptible to inadvertent misplacement, or loss through fraud</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color w:val="808080" w:themeColor="background1" w:themeShade="80"/>
                <w:sz w:val="22"/>
                <w:szCs w:val="22"/>
              </w:rPr>
              <w:t>Postal cash donations</w:t>
            </w:r>
          </w:p>
        </w:tc>
        <w:tc>
          <w:tcPr>
            <w:tcW w:w="5670" w:type="dxa"/>
          </w:tcPr>
          <w:p w:rsidR="005D1D0B" w:rsidRPr="005D1D0B" w:rsidRDefault="005D1D0B" w:rsidP="005D1D0B">
            <w:pPr>
              <w:pStyle w:val="Default"/>
              <w:rPr>
                <w:sz w:val="22"/>
                <w:szCs w:val="22"/>
              </w:rPr>
            </w:pPr>
            <w:r w:rsidRPr="005D1D0B">
              <w:rPr>
                <w:sz w:val="22"/>
                <w:szCs w:val="22"/>
              </w:rPr>
              <w:t>Cash donations are susceptible to inadvertent misplacement, or loss through fraud</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color w:val="808080" w:themeColor="background1" w:themeShade="80"/>
                <w:sz w:val="22"/>
                <w:szCs w:val="22"/>
              </w:rPr>
              <w:t>Standing Order, Credit card, Direct debit and online EFT</w:t>
            </w:r>
          </w:p>
        </w:tc>
        <w:tc>
          <w:tcPr>
            <w:tcW w:w="5670" w:type="dxa"/>
          </w:tcPr>
          <w:p w:rsidR="005D1D0B" w:rsidRPr="005D1D0B" w:rsidRDefault="005D1D0B" w:rsidP="005D1D0B">
            <w:pPr>
              <w:pStyle w:val="Default"/>
              <w:rPr>
                <w:sz w:val="22"/>
                <w:szCs w:val="22"/>
              </w:rPr>
            </w:pPr>
            <w:r w:rsidRPr="005D1D0B">
              <w:rPr>
                <w:sz w:val="22"/>
                <w:szCs w:val="22"/>
              </w:rPr>
              <w:t>Donations are susceptible to inadvertent misplacement, or loss through fraud</w:t>
            </w:r>
          </w:p>
        </w:tc>
      </w:tr>
      <w:tr w:rsidR="005D1D0B" w:rsidRPr="005D1D0B" w:rsidTr="00495848">
        <w:tc>
          <w:tcPr>
            <w:tcW w:w="3369" w:type="dxa"/>
          </w:tcPr>
          <w:p w:rsidR="005D1D0B" w:rsidRPr="00F24948" w:rsidRDefault="005D1D0B" w:rsidP="00C54E3F">
            <w:pPr>
              <w:pStyle w:val="Default"/>
              <w:rPr>
                <w:color w:val="808080" w:themeColor="background1" w:themeShade="80"/>
                <w:sz w:val="22"/>
                <w:szCs w:val="22"/>
              </w:rPr>
            </w:pPr>
            <w:r w:rsidRPr="00F24948">
              <w:rPr>
                <w:color w:val="808080" w:themeColor="background1" w:themeShade="80"/>
                <w:sz w:val="22"/>
                <w:szCs w:val="22"/>
              </w:rPr>
              <w:t>Telemarketing campaigns</w:t>
            </w:r>
            <w:r w:rsidR="00C54E3F" w:rsidRPr="00F24948">
              <w:rPr>
                <w:color w:val="808080" w:themeColor="background1" w:themeShade="80"/>
                <w:sz w:val="22"/>
                <w:szCs w:val="22"/>
              </w:rPr>
              <w:t xml:space="preserve">, </w:t>
            </w:r>
            <w:r w:rsidRPr="00F24948">
              <w:rPr>
                <w:color w:val="808080" w:themeColor="background1" w:themeShade="80"/>
                <w:sz w:val="22"/>
                <w:szCs w:val="22"/>
              </w:rPr>
              <w:t>Bingos</w:t>
            </w:r>
            <w:r w:rsidR="00C54E3F" w:rsidRPr="00F24948">
              <w:rPr>
                <w:color w:val="808080" w:themeColor="background1" w:themeShade="80"/>
                <w:sz w:val="22"/>
                <w:szCs w:val="22"/>
              </w:rPr>
              <w:t xml:space="preserve">, </w:t>
            </w:r>
            <w:r w:rsidRPr="00F24948">
              <w:rPr>
                <w:color w:val="808080" w:themeColor="background1" w:themeShade="80"/>
                <w:sz w:val="22"/>
                <w:szCs w:val="22"/>
              </w:rPr>
              <w:t>Raffles and lotteries</w:t>
            </w:r>
            <w:r w:rsidR="00C54E3F" w:rsidRPr="00F24948">
              <w:rPr>
                <w:color w:val="808080" w:themeColor="background1" w:themeShade="80"/>
                <w:sz w:val="22"/>
                <w:szCs w:val="22"/>
              </w:rPr>
              <w:t xml:space="preserve">, </w:t>
            </w:r>
            <w:r w:rsidRPr="00F24948">
              <w:rPr>
                <w:color w:val="808080" w:themeColor="background1" w:themeShade="80"/>
                <w:sz w:val="22"/>
                <w:szCs w:val="22"/>
              </w:rPr>
              <w:t xml:space="preserve">Social events </w:t>
            </w:r>
            <w:r w:rsidR="00C54E3F" w:rsidRPr="00F24948">
              <w:rPr>
                <w:color w:val="808080" w:themeColor="background1" w:themeShade="80"/>
                <w:sz w:val="22"/>
                <w:szCs w:val="22"/>
              </w:rPr>
              <w:t xml:space="preserve">and </w:t>
            </w:r>
            <w:r w:rsidRPr="00F24948">
              <w:rPr>
                <w:color w:val="808080" w:themeColor="background1" w:themeShade="80"/>
                <w:sz w:val="22"/>
                <w:szCs w:val="22"/>
              </w:rPr>
              <w:t>Large appeals</w:t>
            </w:r>
          </w:p>
        </w:tc>
        <w:tc>
          <w:tcPr>
            <w:tcW w:w="5670" w:type="dxa"/>
          </w:tcPr>
          <w:p w:rsidR="005D1D0B" w:rsidRPr="005D1D0B" w:rsidRDefault="005D1D0B" w:rsidP="005D1D0B">
            <w:pPr>
              <w:autoSpaceDE w:val="0"/>
              <w:autoSpaceDN w:val="0"/>
              <w:adjustRightInd w:val="0"/>
              <w:rPr>
                <w:rFonts w:ascii="Times New Roman" w:hAnsi="Times New Roman" w:cs="Times New Roman"/>
              </w:rPr>
            </w:pPr>
            <w:r w:rsidRPr="005D1D0B">
              <w:rPr>
                <w:rFonts w:ascii="Times New Roman" w:hAnsi="Times New Roman" w:cs="Times New Roman"/>
              </w:rPr>
              <w:t>Given the range and size of specific fundraising events that a NFP entity may undertake, each event will have its own risk</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color w:val="808080" w:themeColor="background1" w:themeShade="80"/>
                <w:sz w:val="22"/>
                <w:szCs w:val="22"/>
              </w:rPr>
              <w:t>Donated materials</w:t>
            </w:r>
          </w:p>
        </w:tc>
        <w:tc>
          <w:tcPr>
            <w:tcW w:w="5670" w:type="dxa"/>
          </w:tcPr>
          <w:p w:rsidR="005D1D0B" w:rsidRPr="005D1D0B" w:rsidRDefault="001A1339" w:rsidP="005D1D0B">
            <w:pPr>
              <w:pStyle w:val="Default"/>
              <w:rPr>
                <w:sz w:val="22"/>
                <w:szCs w:val="22"/>
              </w:rPr>
            </w:pPr>
            <w:r w:rsidRPr="005D1D0B">
              <w:rPr>
                <w:sz w:val="22"/>
                <w:szCs w:val="22"/>
              </w:rPr>
              <w:t>Susceptible</w:t>
            </w:r>
            <w:r w:rsidR="005D1D0B" w:rsidRPr="005D1D0B">
              <w:rPr>
                <w:sz w:val="22"/>
                <w:szCs w:val="22"/>
              </w:rPr>
              <w:t xml:space="preserve"> to fraud</w:t>
            </w:r>
          </w:p>
          <w:p w:rsidR="005D1D0B" w:rsidRPr="005D1D0B" w:rsidRDefault="005D1D0B" w:rsidP="005D1D0B">
            <w:pPr>
              <w:pStyle w:val="Default"/>
              <w:rPr>
                <w:sz w:val="22"/>
                <w:szCs w:val="22"/>
              </w:rPr>
            </w:pPr>
            <w:r w:rsidRPr="005D1D0B">
              <w:rPr>
                <w:sz w:val="22"/>
                <w:szCs w:val="22"/>
              </w:rPr>
              <w:t>Estimating the fair value of donated materials</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bCs/>
                <w:color w:val="808080" w:themeColor="background1" w:themeShade="80"/>
                <w:sz w:val="22"/>
                <w:szCs w:val="22"/>
              </w:rPr>
              <w:t>Bequests and Legacies</w:t>
            </w:r>
          </w:p>
        </w:tc>
        <w:tc>
          <w:tcPr>
            <w:tcW w:w="5670" w:type="dxa"/>
          </w:tcPr>
          <w:p w:rsidR="005D1D0B" w:rsidRPr="005D1D0B" w:rsidRDefault="005D1D0B" w:rsidP="005D1D0B">
            <w:pPr>
              <w:pStyle w:val="Default"/>
              <w:rPr>
                <w:sz w:val="22"/>
                <w:szCs w:val="22"/>
              </w:rPr>
            </w:pPr>
            <w:r w:rsidRPr="005D1D0B">
              <w:rPr>
                <w:sz w:val="22"/>
                <w:szCs w:val="22"/>
              </w:rPr>
              <w:t>Potential for breach of restrictions (if any) regarding the use of a bequest or legacy</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color w:val="808080" w:themeColor="background1" w:themeShade="80"/>
                <w:sz w:val="22"/>
                <w:szCs w:val="22"/>
              </w:rPr>
              <w:t>Pledges</w:t>
            </w:r>
          </w:p>
        </w:tc>
        <w:tc>
          <w:tcPr>
            <w:tcW w:w="5670" w:type="dxa"/>
          </w:tcPr>
          <w:p w:rsidR="005D1D0B" w:rsidRPr="005D1D0B" w:rsidRDefault="005D1D0B" w:rsidP="005D1D0B">
            <w:pPr>
              <w:pStyle w:val="Default"/>
              <w:rPr>
                <w:sz w:val="22"/>
                <w:szCs w:val="22"/>
              </w:rPr>
            </w:pPr>
            <w:r w:rsidRPr="005D1D0B">
              <w:rPr>
                <w:sz w:val="22"/>
                <w:szCs w:val="22"/>
              </w:rPr>
              <w:t>Inherent risk associated with estimation of the realisable value of pledges receivable</w:t>
            </w:r>
          </w:p>
        </w:tc>
      </w:tr>
      <w:tr w:rsidR="005D1D0B" w:rsidRPr="005D1D0B" w:rsidTr="00495848">
        <w:tc>
          <w:tcPr>
            <w:tcW w:w="3369" w:type="dxa"/>
          </w:tcPr>
          <w:p w:rsidR="005D1D0B" w:rsidRPr="00F24948" w:rsidRDefault="005D1D0B" w:rsidP="00486DAE">
            <w:pPr>
              <w:pStyle w:val="Default"/>
              <w:rPr>
                <w:color w:val="808080" w:themeColor="background1" w:themeShade="80"/>
                <w:sz w:val="22"/>
                <w:szCs w:val="22"/>
              </w:rPr>
            </w:pPr>
            <w:r w:rsidRPr="00F24948">
              <w:rPr>
                <w:bCs/>
                <w:color w:val="808080" w:themeColor="background1" w:themeShade="80"/>
                <w:sz w:val="22"/>
                <w:szCs w:val="22"/>
              </w:rPr>
              <w:t>Contributions from grants or restricted income</w:t>
            </w:r>
          </w:p>
        </w:tc>
        <w:tc>
          <w:tcPr>
            <w:tcW w:w="5670" w:type="dxa"/>
          </w:tcPr>
          <w:p w:rsidR="005D1D0B" w:rsidRPr="005D1D0B" w:rsidRDefault="005D1D0B" w:rsidP="005D1D0B">
            <w:pPr>
              <w:pStyle w:val="Default"/>
              <w:rPr>
                <w:sz w:val="22"/>
                <w:szCs w:val="22"/>
              </w:rPr>
            </w:pPr>
            <w:r w:rsidRPr="005D1D0B">
              <w:rPr>
                <w:sz w:val="22"/>
                <w:szCs w:val="22"/>
              </w:rPr>
              <w:t xml:space="preserve">Potential for breach of the conditions or restrictions on the use of the grant </w:t>
            </w:r>
          </w:p>
        </w:tc>
      </w:tr>
    </w:tbl>
    <w:p w:rsidR="005D1D0B" w:rsidRDefault="005D1D0B" w:rsidP="00F46088">
      <w:pPr>
        <w:pStyle w:val="NoSpacing"/>
        <w:rPr>
          <w:rFonts w:ascii="Times New Roman" w:hAnsi="Times New Roman" w:cs="Times New Roman"/>
        </w:rPr>
      </w:pPr>
    </w:p>
    <w:p w:rsidR="00FA5BA8" w:rsidRPr="00FA5BA8" w:rsidRDefault="00FA5BA8" w:rsidP="00FA5BA8">
      <w:pPr>
        <w:pStyle w:val="Default"/>
        <w:rPr>
          <w:sz w:val="22"/>
          <w:szCs w:val="22"/>
        </w:rPr>
      </w:pPr>
      <w:r w:rsidRPr="00FA5BA8">
        <w:rPr>
          <w:sz w:val="22"/>
          <w:szCs w:val="22"/>
        </w:rPr>
        <w:t xml:space="preserve">Remember </w:t>
      </w:r>
      <w:r>
        <w:rPr>
          <w:sz w:val="22"/>
          <w:szCs w:val="22"/>
        </w:rPr>
        <w:t xml:space="preserve">under </w:t>
      </w:r>
      <w:r w:rsidRPr="006749B5">
        <w:rPr>
          <w:sz w:val="22"/>
          <w:szCs w:val="22"/>
        </w:rPr>
        <w:t>ASA 240 ‘</w:t>
      </w:r>
      <w:r w:rsidRPr="006749B5">
        <w:rPr>
          <w:iCs/>
          <w:sz w:val="22"/>
          <w:szCs w:val="22"/>
        </w:rPr>
        <w:t>The Auditor</w:t>
      </w:r>
      <w:r>
        <w:rPr>
          <w:iCs/>
          <w:sz w:val="22"/>
          <w:szCs w:val="22"/>
        </w:rPr>
        <w:t>’</w:t>
      </w:r>
      <w:r w:rsidRPr="006749B5">
        <w:rPr>
          <w:iCs/>
          <w:sz w:val="22"/>
          <w:szCs w:val="22"/>
        </w:rPr>
        <w:t>s Responsibilities Relating to Fraud in an Audit of a Financial Report’</w:t>
      </w:r>
      <w:r>
        <w:rPr>
          <w:iCs/>
          <w:sz w:val="22"/>
          <w:szCs w:val="22"/>
        </w:rPr>
        <w:t xml:space="preserve"> </w:t>
      </w:r>
      <w:r w:rsidRPr="00FA5BA8">
        <w:rPr>
          <w:sz w:val="22"/>
          <w:szCs w:val="22"/>
        </w:rPr>
        <w:t>the auditor must identify and assess the risks of material misstatement due to fraud at the financial report level, and at the assertion level for classes of transactions, account balances and disclosures.  When identifying and assessing the risks of material misstatement due to fraud, the auditor must, based on a presumption that there are risks of fraud in revenue recognition, evaluate which types of revenue, revenue transactions or assertions give rise to such risks.</w:t>
      </w:r>
    </w:p>
    <w:p w:rsidR="00FA5BA8" w:rsidRPr="00F2056D" w:rsidRDefault="00FA5BA8" w:rsidP="00F46088">
      <w:pPr>
        <w:pStyle w:val="NoSpacing"/>
        <w:rPr>
          <w:rFonts w:ascii="Times New Roman" w:hAnsi="Times New Roman" w:cs="Times New Roman"/>
        </w:rPr>
      </w:pPr>
    </w:p>
    <w:p w:rsidR="002C6946" w:rsidRPr="00F2056D" w:rsidRDefault="002C6946" w:rsidP="002C6946">
      <w:pPr>
        <w:pStyle w:val="Default"/>
        <w:rPr>
          <w:sz w:val="22"/>
          <w:szCs w:val="22"/>
        </w:rPr>
      </w:pPr>
      <w:r w:rsidRPr="00F2056D">
        <w:rPr>
          <w:sz w:val="22"/>
          <w:szCs w:val="22"/>
        </w:rPr>
        <w:t>The auditor may also need to consider the obligations under ASA 265 ‘</w:t>
      </w:r>
      <w:r w:rsidRPr="00F2056D">
        <w:rPr>
          <w:iCs/>
          <w:sz w:val="22"/>
          <w:szCs w:val="22"/>
        </w:rPr>
        <w:t xml:space="preserve">Communicating Deficiencies in Internal Control to Those Charged with Governance and Management’ </w:t>
      </w:r>
      <w:r w:rsidRPr="00F2056D">
        <w:rPr>
          <w:sz w:val="22"/>
          <w:szCs w:val="22"/>
        </w:rPr>
        <w:t xml:space="preserve">to communicate significant or other deficiencies in internal control while performing the audit. </w:t>
      </w:r>
    </w:p>
    <w:p w:rsidR="002C6946" w:rsidRDefault="002C6946" w:rsidP="00F46088">
      <w:pPr>
        <w:pStyle w:val="NoSpacing"/>
        <w:rPr>
          <w:rFonts w:ascii="Times New Roman" w:hAnsi="Times New Roman" w:cs="Times New Roman"/>
        </w:rPr>
      </w:pPr>
    </w:p>
    <w:p w:rsidR="001D40AF" w:rsidRPr="00F46088" w:rsidRDefault="001D40AF" w:rsidP="001D40AF">
      <w:pPr>
        <w:pStyle w:val="Default"/>
        <w:rPr>
          <w:sz w:val="22"/>
          <w:szCs w:val="22"/>
        </w:rPr>
      </w:pPr>
      <w:r w:rsidRPr="00F46088">
        <w:rPr>
          <w:sz w:val="22"/>
          <w:szCs w:val="22"/>
        </w:rPr>
        <w:t>Indicative audit procedures that may be considered in relation to the audit of each source of fundraising revenue</w:t>
      </w:r>
      <w:r>
        <w:rPr>
          <w:sz w:val="22"/>
          <w:szCs w:val="22"/>
        </w:rPr>
        <w:t xml:space="preserve"> are described in Appendix 2: Fundraising Indicative Audit Procedures.</w:t>
      </w:r>
    </w:p>
    <w:p w:rsidR="001D40AF" w:rsidRPr="00F2056D" w:rsidRDefault="001D40AF" w:rsidP="00F46088">
      <w:pPr>
        <w:pStyle w:val="NoSpacing"/>
        <w:rPr>
          <w:rFonts w:ascii="Times New Roman" w:hAnsi="Times New Roman" w:cs="Times New Roman"/>
        </w:rPr>
      </w:pPr>
    </w:p>
    <w:p w:rsidR="00700846" w:rsidRPr="00700846" w:rsidRDefault="00700846" w:rsidP="00700846">
      <w:pPr>
        <w:pStyle w:val="Default"/>
        <w:rPr>
          <w:sz w:val="22"/>
          <w:szCs w:val="22"/>
        </w:rPr>
      </w:pPr>
      <w:r w:rsidRPr="00700846">
        <w:rPr>
          <w:sz w:val="22"/>
          <w:szCs w:val="22"/>
        </w:rPr>
        <w:t xml:space="preserve">The auditor may also need to consider any obligations under ASA 260 </w:t>
      </w:r>
      <w:r w:rsidRPr="00700846">
        <w:rPr>
          <w:iCs/>
          <w:sz w:val="22"/>
          <w:szCs w:val="22"/>
        </w:rPr>
        <w:t>Communication with Those Charged with Governance</w:t>
      </w:r>
      <w:r w:rsidR="007C5DFD">
        <w:rPr>
          <w:iCs/>
          <w:sz w:val="22"/>
          <w:szCs w:val="22"/>
        </w:rPr>
        <w:t>’</w:t>
      </w:r>
      <w:r w:rsidRPr="00700846">
        <w:rPr>
          <w:i/>
          <w:iCs/>
          <w:sz w:val="22"/>
          <w:szCs w:val="22"/>
        </w:rPr>
        <w:t xml:space="preserve"> </w:t>
      </w:r>
      <w:r w:rsidRPr="00700846">
        <w:rPr>
          <w:sz w:val="22"/>
          <w:szCs w:val="22"/>
        </w:rPr>
        <w:t xml:space="preserve">to communicate significant findings from the audit. </w:t>
      </w:r>
    </w:p>
    <w:p w:rsidR="00700846" w:rsidRDefault="00700846" w:rsidP="00643107">
      <w:pPr>
        <w:pStyle w:val="Default"/>
        <w:rPr>
          <w:sz w:val="20"/>
          <w:szCs w:val="20"/>
        </w:rPr>
      </w:pPr>
    </w:p>
    <w:p w:rsidR="00700846" w:rsidRPr="00700846" w:rsidRDefault="00700846" w:rsidP="00643107">
      <w:pPr>
        <w:pStyle w:val="Default"/>
        <w:rPr>
          <w:b/>
          <w:color w:val="990033"/>
        </w:rPr>
      </w:pPr>
      <w:r w:rsidRPr="00700846">
        <w:rPr>
          <w:b/>
          <w:color w:val="990033"/>
        </w:rPr>
        <w:t>Auditor’s Conclusion and Reporting</w:t>
      </w:r>
    </w:p>
    <w:p w:rsidR="00E83287" w:rsidRDefault="00E83287" w:rsidP="00F607EA">
      <w:pPr>
        <w:pStyle w:val="Default"/>
        <w:rPr>
          <w:sz w:val="22"/>
          <w:szCs w:val="22"/>
        </w:rPr>
      </w:pPr>
    </w:p>
    <w:p w:rsidR="00695C45" w:rsidRPr="004F563B" w:rsidRDefault="00695C45" w:rsidP="00F607EA">
      <w:pPr>
        <w:pStyle w:val="Default"/>
        <w:rPr>
          <w:b/>
          <w:color w:val="808080" w:themeColor="background1" w:themeShade="80"/>
          <w:sz w:val="22"/>
          <w:szCs w:val="22"/>
        </w:rPr>
      </w:pPr>
      <w:r w:rsidRPr="004F563B">
        <w:rPr>
          <w:b/>
          <w:color w:val="808080" w:themeColor="background1" w:themeShade="80"/>
          <w:sz w:val="22"/>
          <w:szCs w:val="22"/>
        </w:rPr>
        <w:t>General Requirements</w:t>
      </w:r>
    </w:p>
    <w:p w:rsidR="00695C45" w:rsidRPr="00695C45" w:rsidRDefault="00695C45" w:rsidP="00F607EA">
      <w:pPr>
        <w:pStyle w:val="Default"/>
        <w:rPr>
          <w:sz w:val="22"/>
          <w:szCs w:val="22"/>
        </w:rPr>
      </w:pPr>
    </w:p>
    <w:p w:rsidR="00E83287" w:rsidRPr="00F607EA" w:rsidRDefault="00E83287" w:rsidP="00F607EA">
      <w:pPr>
        <w:pStyle w:val="Default"/>
        <w:rPr>
          <w:sz w:val="22"/>
          <w:szCs w:val="22"/>
        </w:rPr>
      </w:pPr>
      <w:r w:rsidRPr="00F607EA">
        <w:rPr>
          <w:sz w:val="22"/>
          <w:szCs w:val="22"/>
        </w:rPr>
        <w:t>ASA 700</w:t>
      </w:r>
      <w:r w:rsidR="00F607EA" w:rsidRPr="00F607EA">
        <w:rPr>
          <w:sz w:val="22"/>
          <w:szCs w:val="22"/>
        </w:rPr>
        <w:t xml:space="preserve"> ‘</w:t>
      </w:r>
      <w:r w:rsidRPr="00F607EA">
        <w:rPr>
          <w:iCs/>
          <w:sz w:val="22"/>
          <w:szCs w:val="22"/>
        </w:rPr>
        <w:t>Forming an Opinion and Reporting on a Financial Report</w:t>
      </w:r>
      <w:r w:rsidR="00F607EA" w:rsidRPr="00F607EA">
        <w:rPr>
          <w:iCs/>
          <w:sz w:val="22"/>
          <w:szCs w:val="22"/>
        </w:rPr>
        <w:t xml:space="preserve">’ requires the </w:t>
      </w:r>
      <w:r w:rsidRPr="00F607EA">
        <w:rPr>
          <w:sz w:val="22"/>
          <w:szCs w:val="22"/>
        </w:rPr>
        <w:t xml:space="preserve">auditor </w:t>
      </w:r>
      <w:r w:rsidR="00F607EA" w:rsidRPr="00F607EA">
        <w:rPr>
          <w:sz w:val="22"/>
          <w:szCs w:val="22"/>
        </w:rPr>
        <w:t>to</w:t>
      </w:r>
      <w:r w:rsidRPr="00F607EA">
        <w:rPr>
          <w:sz w:val="22"/>
          <w:szCs w:val="22"/>
        </w:rPr>
        <w:t xml:space="preserve"> conclude as to whether the auditor has obtained </w:t>
      </w:r>
      <w:r w:rsidR="00700846" w:rsidRPr="00700846">
        <w:rPr>
          <w:i/>
          <w:sz w:val="22"/>
          <w:szCs w:val="22"/>
        </w:rPr>
        <w:t>reasonable assurance</w:t>
      </w:r>
      <w:r w:rsidRPr="00F607EA">
        <w:rPr>
          <w:sz w:val="22"/>
          <w:szCs w:val="22"/>
        </w:rPr>
        <w:t xml:space="preserve"> about whether the financial report </w:t>
      </w:r>
      <w:r w:rsidRPr="00F607EA">
        <w:rPr>
          <w:i/>
          <w:sz w:val="22"/>
          <w:szCs w:val="22"/>
        </w:rPr>
        <w:t>as a whole is free</w:t>
      </w:r>
      <w:r w:rsidRPr="00F607EA">
        <w:rPr>
          <w:sz w:val="22"/>
          <w:szCs w:val="22"/>
        </w:rPr>
        <w:t xml:space="preserve"> from material misstatement, whether due to fraud or error. </w:t>
      </w:r>
      <w:r w:rsidR="00F607EA" w:rsidRPr="00F607EA">
        <w:rPr>
          <w:sz w:val="22"/>
          <w:szCs w:val="22"/>
        </w:rPr>
        <w:t xml:space="preserve"> T</w:t>
      </w:r>
      <w:r w:rsidRPr="00F607EA">
        <w:rPr>
          <w:sz w:val="22"/>
          <w:szCs w:val="22"/>
        </w:rPr>
        <w:t>he auditor needs to consider</w:t>
      </w:r>
      <w:r w:rsidR="00C54E3F">
        <w:rPr>
          <w:sz w:val="22"/>
          <w:szCs w:val="22"/>
        </w:rPr>
        <w:t xml:space="preserve"> whether</w:t>
      </w:r>
      <w:r w:rsidRPr="00F607EA">
        <w:rPr>
          <w:sz w:val="22"/>
          <w:szCs w:val="22"/>
        </w:rPr>
        <w:t xml:space="preserve">: </w:t>
      </w:r>
    </w:p>
    <w:p w:rsidR="00E83287" w:rsidRPr="00F607EA" w:rsidRDefault="00C54E3F" w:rsidP="00F607EA">
      <w:pPr>
        <w:pStyle w:val="Default"/>
        <w:numPr>
          <w:ilvl w:val="0"/>
          <w:numId w:val="31"/>
        </w:numPr>
        <w:rPr>
          <w:sz w:val="22"/>
          <w:szCs w:val="22"/>
        </w:rPr>
      </w:pPr>
      <w:r>
        <w:rPr>
          <w:sz w:val="22"/>
          <w:szCs w:val="22"/>
        </w:rPr>
        <w:t>S</w:t>
      </w:r>
      <w:r w:rsidR="00E83287" w:rsidRPr="00F607EA">
        <w:rPr>
          <w:sz w:val="22"/>
          <w:szCs w:val="22"/>
        </w:rPr>
        <w:t>ufficient appropriate evidence has been obtained and under ASA 330</w:t>
      </w:r>
      <w:r w:rsidR="00F607EA" w:rsidRPr="00F607EA">
        <w:rPr>
          <w:sz w:val="22"/>
          <w:szCs w:val="22"/>
        </w:rPr>
        <w:t xml:space="preserve"> </w:t>
      </w:r>
      <w:r w:rsidR="00F607EA">
        <w:rPr>
          <w:sz w:val="22"/>
          <w:szCs w:val="22"/>
        </w:rPr>
        <w:t>‘</w:t>
      </w:r>
      <w:r w:rsidR="00F607EA" w:rsidRPr="00F607EA">
        <w:rPr>
          <w:iCs/>
          <w:sz w:val="22"/>
          <w:szCs w:val="22"/>
        </w:rPr>
        <w:t>The Auditor’s Responses to Assessed Risks</w:t>
      </w:r>
      <w:r w:rsidR="00F607EA">
        <w:rPr>
          <w:iCs/>
          <w:sz w:val="22"/>
          <w:szCs w:val="22"/>
        </w:rPr>
        <w:t xml:space="preserve">’ </w:t>
      </w:r>
      <w:r w:rsidR="00E83287" w:rsidRPr="00F607EA">
        <w:rPr>
          <w:sz w:val="22"/>
          <w:szCs w:val="22"/>
        </w:rPr>
        <w:t>in particular, the auditor needs to</w:t>
      </w:r>
      <w:r w:rsidR="00F607EA" w:rsidRPr="00F607EA">
        <w:rPr>
          <w:sz w:val="22"/>
          <w:szCs w:val="22"/>
        </w:rPr>
        <w:t xml:space="preserve"> </w:t>
      </w:r>
      <w:r w:rsidR="00E83287" w:rsidRPr="00F607EA">
        <w:rPr>
          <w:sz w:val="22"/>
          <w:szCs w:val="22"/>
        </w:rPr>
        <w:t>consider the controls and the effectiveness of controls over each source of fundraising revenue</w:t>
      </w:r>
    </w:p>
    <w:p w:rsidR="00E83287" w:rsidRPr="00F607EA" w:rsidRDefault="00C54E3F" w:rsidP="00F607EA">
      <w:pPr>
        <w:pStyle w:val="Default"/>
        <w:numPr>
          <w:ilvl w:val="0"/>
          <w:numId w:val="31"/>
        </w:numPr>
        <w:rPr>
          <w:sz w:val="22"/>
          <w:szCs w:val="22"/>
        </w:rPr>
      </w:pPr>
      <w:r>
        <w:rPr>
          <w:sz w:val="22"/>
          <w:szCs w:val="22"/>
        </w:rPr>
        <w:t>U</w:t>
      </w:r>
      <w:r w:rsidR="00E83287" w:rsidRPr="00F607EA">
        <w:rPr>
          <w:sz w:val="22"/>
          <w:szCs w:val="22"/>
        </w:rPr>
        <w:t xml:space="preserve">ncorrected misstatements are material, individually or in aggregate, under ASA 450 </w:t>
      </w:r>
      <w:r w:rsidR="00F607EA">
        <w:rPr>
          <w:sz w:val="22"/>
          <w:szCs w:val="22"/>
        </w:rPr>
        <w:t>‘</w:t>
      </w:r>
      <w:r w:rsidR="00E83287" w:rsidRPr="00F607EA">
        <w:rPr>
          <w:iCs/>
          <w:sz w:val="22"/>
          <w:szCs w:val="22"/>
        </w:rPr>
        <w:t>Evaluation of Misstatements Identified during the Audit</w:t>
      </w:r>
      <w:r w:rsidR="00F607EA">
        <w:rPr>
          <w:iCs/>
          <w:sz w:val="22"/>
          <w:szCs w:val="22"/>
        </w:rPr>
        <w:t>’,</w:t>
      </w:r>
      <w:r w:rsidR="00E83287" w:rsidRPr="00F607EA">
        <w:rPr>
          <w:sz w:val="22"/>
          <w:szCs w:val="22"/>
        </w:rPr>
        <w:t xml:space="preserve"> and </w:t>
      </w:r>
    </w:p>
    <w:p w:rsidR="00E83287" w:rsidRPr="00F607EA" w:rsidRDefault="00C54E3F" w:rsidP="00F607EA">
      <w:pPr>
        <w:pStyle w:val="Default"/>
        <w:numPr>
          <w:ilvl w:val="0"/>
          <w:numId w:val="31"/>
        </w:numPr>
        <w:rPr>
          <w:sz w:val="22"/>
          <w:szCs w:val="22"/>
        </w:rPr>
      </w:pPr>
      <w:r>
        <w:rPr>
          <w:sz w:val="22"/>
          <w:szCs w:val="22"/>
        </w:rPr>
        <w:lastRenderedPageBreak/>
        <w:t>T</w:t>
      </w:r>
      <w:r w:rsidR="00E83287" w:rsidRPr="00F607EA">
        <w:rPr>
          <w:sz w:val="22"/>
          <w:szCs w:val="22"/>
        </w:rPr>
        <w:t xml:space="preserve">he financial report, in all material respects, is in accordance with the requirements of the applicable financial reporting framework </w:t>
      </w:r>
      <w:r w:rsidR="00F607EA" w:rsidRPr="00F607EA">
        <w:rPr>
          <w:sz w:val="22"/>
          <w:szCs w:val="22"/>
        </w:rPr>
        <w:t xml:space="preserve"> </w:t>
      </w:r>
      <w:r w:rsidR="00E83287" w:rsidRPr="00F607EA">
        <w:rPr>
          <w:sz w:val="22"/>
          <w:szCs w:val="22"/>
        </w:rPr>
        <w:t>This evaluation include</w:t>
      </w:r>
      <w:r w:rsidR="00F607EA">
        <w:rPr>
          <w:sz w:val="22"/>
          <w:szCs w:val="22"/>
        </w:rPr>
        <w:t>s</w:t>
      </w:r>
      <w:r w:rsidR="00E83287" w:rsidRPr="00F607EA">
        <w:rPr>
          <w:sz w:val="22"/>
          <w:szCs w:val="22"/>
        </w:rPr>
        <w:t xml:space="preserve"> consideration of the qualitative aspects of the entity’s accounting practices, including indicators of possible bias in management’s judgements, </w:t>
      </w:r>
      <w:r w:rsidR="00F607EA">
        <w:rPr>
          <w:sz w:val="22"/>
          <w:szCs w:val="22"/>
        </w:rPr>
        <w:t>i</w:t>
      </w:r>
      <w:r w:rsidR="00E83287" w:rsidRPr="00F607EA">
        <w:rPr>
          <w:sz w:val="22"/>
          <w:szCs w:val="22"/>
        </w:rPr>
        <w:t xml:space="preserve">n particular consideration may be given to whether: </w:t>
      </w:r>
    </w:p>
    <w:p w:rsidR="00E83287" w:rsidRPr="00F607EA" w:rsidRDefault="00F607EA" w:rsidP="00F607EA">
      <w:pPr>
        <w:pStyle w:val="Default"/>
        <w:numPr>
          <w:ilvl w:val="1"/>
          <w:numId w:val="31"/>
        </w:numPr>
        <w:rPr>
          <w:sz w:val="22"/>
          <w:szCs w:val="22"/>
        </w:rPr>
      </w:pPr>
      <w:r w:rsidRPr="00F607EA">
        <w:rPr>
          <w:sz w:val="22"/>
          <w:szCs w:val="22"/>
        </w:rPr>
        <w:t>A</w:t>
      </w:r>
      <w:r w:rsidR="00E83287" w:rsidRPr="00F607EA">
        <w:rPr>
          <w:sz w:val="22"/>
          <w:szCs w:val="22"/>
        </w:rPr>
        <w:t xml:space="preserve">dequate disclosure of significant accounting policies for fundraising revenue has been made, their selection appropriate and that they have been consistently applied within the reporting framework </w:t>
      </w:r>
    </w:p>
    <w:p w:rsidR="00E83287" w:rsidRPr="00F607EA" w:rsidRDefault="00F607EA" w:rsidP="00F607EA">
      <w:pPr>
        <w:pStyle w:val="Default"/>
        <w:numPr>
          <w:ilvl w:val="1"/>
          <w:numId w:val="31"/>
        </w:numPr>
        <w:rPr>
          <w:sz w:val="22"/>
          <w:szCs w:val="22"/>
        </w:rPr>
      </w:pPr>
      <w:r w:rsidRPr="00F607EA">
        <w:rPr>
          <w:sz w:val="22"/>
          <w:szCs w:val="22"/>
        </w:rPr>
        <w:t>A</w:t>
      </w:r>
      <w:r w:rsidR="00E83287" w:rsidRPr="00F607EA">
        <w:rPr>
          <w:sz w:val="22"/>
          <w:szCs w:val="22"/>
        </w:rPr>
        <w:t xml:space="preserve">ccounting estimates made by management are reasonable </w:t>
      </w:r>
    </w:p>
    <w:p w:rsidR="00E83287" w:rsidRPr="00F607EA" w:rsidRDefault="00F607EA" w:rsidP="00F607EA">
      <w:pPr>
        <w:pStyle w:val="Default"/>
        <w:numPr>
          <w:ilvl w:val="1"/>
          <w:numId w:val="31"/>
        </w:numPr>
        <w:rPr>
          <w:sz w:val="22"/>
          <w:szCs w:val="22"/>
        </w:rPr>
      </w:pPr>
      <w:r w:rsidRPr="00F607EA">
        <w:rPr>
          <w:sz w:val="22"/>
          <w:szCs w:val="22"/>
        </w:rPr>
        <w:t>I</w:t>
      </w:r>
      <w:r w:rsidR="00E83287" w:rsidRPr="00F607EA">
        <w:rPr>
          <w:sz w:val="22"/>
          <w:szCs w:val="22"/>
        </w:rPr>
        <w:t>nformation presented in the financial report is relevant, reliable, comparable and understandable</w:t>
      </w:r>
      <w:r w:rsidR="00700846">
        <w:rPr>
          <w:sz w:val="22"/>
          <w:szCs w:val="22"/>
        </w:rPr>
        <w:t>,</w:t>
      </w:r>
      <w:r w:rsidR="00E83287" w:rsidRPr="00F607EA">
        <w:rPr>
          <w:sz w:val="22"/>
          <w:szCs w:val="22"/>
        </w:rPr>
        <w:t xml:space="preserve"> and </w:t>
      </w:r>
    </w:p>
    <w:p w:rsidR="00E83287" w:rsidRPr="00F607EA" w:rsidRDefault="00F607EA" w:rsidP="00F607EA">
      <w:pPr>
        <w:pStyle w:val="Default"/>
        <w:numPr>
          <w:ilvl w:val="1"/>
          <w:numId w:val="31"/>
        </w:numPr>
        <w:rPr>
          <w:sz w:val="22"/>
          <w:szCs w:val="22"/>
        </w:rPr>
      </w:pPr>
      <w:r w:rsidRPr="00F607EA">
        <w:rPr>
          <w:sz w:val="22"/>
          <w:szCs w:val="22"/>
        </w:rPr>
        <w:t>T</w:t>
      </w:r>
      <w:r w:rsidR="00E83287" w:rsidRPr="00F607EA">
        <w:rPr>
          <w:sz w:val="22"/>
          <w:szCs w:val="22"/>
        </w:rPr>
        <w:t xml:space="preserve">he financial report provides adequate disclosures to enable intended users to understand material transactions and events in the information conveyed in the financial report. </w:t>
      </w:r>
    </w:p>
    <w:p w:rsidR="00E83287" w:rsidRPr="00695C45" w:rsidRDefault="00E83287" w:rsidP="00F607EA">
      <w:pPr>
        <w:pStyle w:val="Default"/>
        <w:rPr>
          <w:sz w:val="22"/>
          <w:szCs w:val="22"/>
        </w:rPr>
      </w:pPr>
    </w:p>
    <w:p w:rsidR="000432CA" w:rsidRPr="004F563B" w:rsidRDefault="00700846" w:rsidP="006328FD">
      <w:pPr>
        <w:pStyle w:val="Default"/>
        <w:rPr>
          <w:b/>
          <w:color w:val="808080" w:themeColor="background1" w:themeShade="80"/>
          <w:sz w:val="22"/>
          <w:szCs w:val="22"/>
        </w:rPr>
      </w:pPr>
      <w:r w:rsidRPr="004F563B">
        <w:rPr>
          <w:b/>
          <w:color w:val="808080" w:themeColor="background1" w:themeShade="80"/>
          <w:sz w:val="22"/>
          <w:szCs w:val="22"/>
        </w:rPr>
        <w:t>Unmodified Report</w:t>
      </w:r>
    </w:p>
    <w:p w:rsidR="00700846" w:rsidRPr="00695C45" w:rsidRDefault="00700846" w:rsidP="006328FD">
      <w:pPr>
        <w:pStyle w:val="Default"/>
        <w:rPr>
          <w:sz w:val="22"/>
          <w:szCs w:val="22"/>
        </w:rPr>
      </w:pPr>
    </w:p>
    <w:p w:rsidR="00700846" w:rsidRPr="00695C45" w:rsidRDefault="00700846" w:rsidP="00700846">
      <w:pPr>
        <w:pStyle w:val="Default"/>
        <w:rPr>
          <w:sz w:val="22"/>
          <w:szCs w:val="22"/>
        </w:rPr>
      </w:pPr>
      <w:r w:rsidRPr="00695C45">
        <w:rPr>
          <w:sz w:val="22"/>
          <w:szCs w:val="22"/>
        </w:rPr>
        <w:t>Where sufficient appropriate audit evidence has been obtained to conclude that fundraising revenue reported in the financial report is, in all material respects, presented fairly in accordance with Australian Accounting Standards and other relevant professional reporting requirements, an unmodified audit opinion is issued.</w:t>
      </w:r>
    </w:p>
    <w:p w:rsidR="00700846" w:rsidRPr="00695C45" w:rsidRDefault="00700846" w:rsidP="00700846">
      <w:pPr>
        <w:pStyle w:val="Default"/>
        <w:rPr>
          <w:sz w:val="22"/>
          <w:szCs w:val="22"/>
        </w:rPr>
      </w:pPr>
    </w:p>
    <w:p w:rsidR="00700846" w:rsidRPr="004F563B" w:rsidRDefault="00700846" w:rsidP="00700846">
      <w:pPr>
        <w:pStyle w:val="Default"/>
        <w:rPr>
          <w:b/>
          <w:color w:val="808080" w:themeColor="background1" w:themeShade="80"/>
          <w:sz w:val="22"/>
          <w:szCs w:val="22"/>
        </w:rPr>
      </w:pPr>
      <w:r w:rsidRPr="004F563B">
        <w:rPr>
          <w:b/>
          <w:color w:val="808080" w:themeColor="background1" w:themeShade="80"/>
          <w:sz w:val="22"/>
          <w:szCs w:val="22"/>
        </w:rPr>
        <w:t>Emphasis of Matter</w:t>
      </w:r>
    </w:p>
    <w:p w:rsidR="00700846" w:rsidRPr="00695C45" w:rsidRDefault="00700846" w:rsidP="00F82410">
      <w:pPr>
        <w:pStyle w:val="Default"/>
        <w:jc w:val="both"/>
        <w:rPr>
          <w:sz w:val="22"/>
          <w:szCs w:val="22"/>
        </w:rPr>
      </w:pPr>
    </w:p>
    <w:p w:rsidR="00700846" w:rsidRPr="00695C45" w:rsidRDefault="00700846" w:rsidP="00F82410">
      <w:pPr>
        <w:pStyle w:val="Default"/>
        <w:ind w:firstLine="1"/>
        <w:jc w:val="both"/>
        <w:rPr>
          <w:sz w:val="22"/>
          <w:szCs w:val="22"/>
        </w:rPr>
      </w:pPr>
      <w:r w:rsidRPr="00695C45">
        <w:rPr>
          <w:sz w:val="22"/>
          <w:szCs w:val="22"/>
        </w:rPr>
        <w:t xml:space="preserve">Where considered </w:t>
      </w:r>
      <w:r w:rsidRPr="00695C45">
        <w:rPr>
          <w:i/>
          <w:sz w:val="22"/>
          <w:szCs w:val="22"/>
        </w:rPr>
        <w:t>fundamental</w:t>
      </w:r>
      <w:r w:rsidRPr="00695C45">
        <w:rPr>
          <w:sz w:val="22"/>
          <w:szCs w:val="22"/>
        </w:rPr>
        <w:t xml:space="preserve"> to the users’ understanding of the financial report, the auditor may deem it necessary to draw to the attention of users, the inherent risk of the not-for-profit entity’s operating environment as it relates to revenue recognition from fundraising sources. This may be achieved by the inclusion of an Emphasis of Matter paragraph, in accordance with ASA 706 </w:t>
      </w:r>
      <w:r w:rsidR="00F82410" w:rsidRPr="00695C45">
        <w:rPr>
          <w:sz w:val="22"/>
          <w:szCs w:val="22"/>
        </w:rPr>
        <w:t>‘</w:t>
      </w:r>
      <w:r w:rsidRPr="00695C45">
        <w:rPr>
          <w:iCs/>
          <w:sz w:val="22"/>
          <w:szCs w:val="22"/>
        </w:rPr>
        <w:t>Emphasis of Matter Paragraphs and Other Matter Paragraphs in the Independent Auditor’s Report</w:t>
      </w:r>
      <w:r w:rsidR="00F82410" w:rsidRPr="00695C45">
        <w:rPr>
          <w:iCs/>
          <w:sz w:val="22"/>
          <w:szCs w:val="22"/>
        </w:rPr>
        <w:t>’</w:t>
      </w:r>
      <w:r w:rsidRPr="00695C45">
        <w:rPr>
          <w:sz w:val="22"/>
          <w:szCs w:val="22"/>
        </w:rPr>
        <w:t>.</w:t>
      </w:r>
      <w:r w:rsidR="00F82410" w:rsidRPr="00695C45">
        <w:rPr>
          <w:sz w:val="22"/>
          <w:szCs w:val="22"/>
        </w:rPr>
        <w:t xml:space="preserve">  An example is:</w:t>
      </w:r>
    </w:p>
    <w:p w:rsidR="00F82410" w:rsidRPr="00695C45" w:rsidRDefault="00F82410" w:rsidP="004F563B">
      <w:pPr>
        <w:pStyle w:val="Default"/>
        <w:ind w:left="567"/>
        <w:jc w:val="both"/>
        <w:rPr>
          <w:sz w:val="22"/>
          <w:szCs w:val="22"/>
        </w:rPr>
      </w:pPr>
      <w:r w:rsidRPr="00695C45">
        <w:rPr>
          <w:i/>
          <w:iCs/>
          <w:sz w:val="22"/>
          <w:szCs w:val="22"/>
        </w:rPr>
        <w:t xml:space="preserve">“Emphasis of Matter </w:t>
      </w:r>
    </w:p>
    <w:p w:rsidR="00F82410" w:rsidRPr="004F563B" w:rsidRDefault="00F82410" w:rsidP="004F563B">
      <w:pPr>
        <w:pStyle w:val="Default"/>
        <w:ind w:left="567" w:firstLine="1"/>
        <w:jc w:val="both"/>
        <w:rPr>
          <w:i/>
          <w:sz w:val="22"/>
          <w:szCs w:val="22"/>
        </w:rPr>
      </w:pPr>
      <w:r w:rsidRPr="004F563B">
        <w:rPr>
          <w:i/>
          <w:sz w:val="22"/>
          <w:szCs w:val="22"/>
        </w:rPr>
        <w:t>We draw attention to Note X to the financial report which describes the revenue recognition policy of (name of not-for-profit entity), including the limitations that exist in relation to the recording of cash receipts from (name of source of fundraising revenue).  Revenue from this source represents a significant proportion of (name of not-for-profit entity’s) revenue.  Our opinion is unmodified in respect of this matter.”</w:t>
      </w:r>
    </w:p>
    <w:p w:rsidR="00700846" w:rsidRPr="00695C45" w:rsidRDefault="00700846" w:rsidP="00F82410">
      <w:pPr>
        <w:pStyle w:val="Default"/>
        <w:ind w:left="708" w:hanging="709"/>
        <w:jc w:val="both"/>
        <w:rPr>
          <w:sz w:val="22"/>
          <w:szCs w:val="22"/>
        </w:rPr>
      </w:pPr>
    </w:p>
    <w:p w:rsidR="00F82410" w:rsidRPr="004F563B" w:rsidRDefault="00F82410" w:rsidP="00F82410">
      <w:pPr>
        <w:pStyle w:val="Default"/>
        <w:ind w:left="708" w:hanging="709"/>
        <w:jc w:val="both"/>
        <w:rPr>
          <w:b/>
          <w:color w:val="808080" w:themeColor="background1" w:themeShade="80"/>
          <w:sz w:val="22"/>
          <w:szCs w:val="22"/>
        </w:rPr>
      </w:pPr>
      <w:r w:rsidRPr="004F563B">
        <w:rPr>
          <w:b/>
          <w:color w:val="808080" w:themeColor="background1" w:themeShade="80"/>
          <w:sz w:val="22"/>
          <w:szCs w:val="22"/>
        </w:rPr>
        <w:t>Modifications to the Audit Opinion</w:t>
      </w:r>
    </w:p>
    <w:p w:rsidR="00F82410" w:rsidRPr="00695C45" w:rsidRDefault="00F82410" w:rsidP="00F82410">
      <w:pPr>
        <w:pStyle w:val="Default"/>
        <w:ind w:left="708" w:hanging="709"/>
        <w:jc w:val="both"/>
        <w:rPr>
          <w:sz w:val="22"/>
          <w:szCs w:val="22"/>
        </w:rPr>
      </w:pPr>
    </w:p>
    <w:p w:rsidR="00700846" w:rsidRPr="00695C45" w:rsidRDefault="00700846" w:rsidP="00F82410">
      <w:pPr>
        <w:pStyle w:val="Default"/>
        <w:rPr>
          <w:sz w:val="22"/>
          <w:szCs w:val="22"/>
        </w:rPr>
      </w:pPr>
      <w:r w:rsidRPr="00695C45">
        <w:rPr>
          <w:sz w:val="22"/>
          <w:szCs w:val="22"/>
        </w:rPr>
        <w:t xml:space="preserve">In the absence of other evidence and qualitative factors, and where cash donations as a portion of total fundraising revenue is </w:t>
      </w:r>
      <w:r w:rsidRPr="00695C45">
        <w:rPr>
          <w:i/>
          <w:sz w:val="22"/>
          <w:szCs w:val="22"/>
        </w:rPr>
        <w:t>material</w:t>
      </w:r>
      <w:r w:rsidRPr="00695C45">
        <w:rPr>
          <w:sz w:val="22"/>
          <w:szCs w:val="22"/>
        </w:rPr>
        <w:t xml:space="preserve">, the scope of the auditor’s work </w:t>
      </w:r>
      <w:r w:rsidRPr="00695C45">
        <w:rPr>
          <w:i/>
          <w:sz w:val="22"/>
          <w:szCs w:val="22"/>
        </w:rPr>
        <w:t>may be limited</w:t>
      </w:r>
      <w:r w:rsidRPr="00695C45">
        <w:rPr>
          <w:sz w:val="22"/>
          <w:szCs w:val="22"/>
        </w:rPr>
        <w:t xml:space="preserve"> in so far as being able to obtain sufficient appropriate audit evidence to conclude whether the financial records reflect fundraising revenue from the point at which the not-for-profit entity should have gained control of the cash donations. </w:t>
      </w:r>
      <w:r w:rsidR="00F82410" w:rsidRPr="00695C45">
        <w:rPr>
          <w:sz w:val="22"/>
          <w:szCs w:val="22"/>
        </w:rPr>
        <w:t xml:space="preserve"> </w:t>
      </w:r>
      <w:r w:rsidRPr="00695C45">
        <w:rPr>
          <w:sz w:val="22"/>
          <w:szCs w:val="22"/>
        </w:rPr>
        <w:t xml:space="preserve">ASA 705 </w:t>
      </w:r>
      <w:r w:rsidR="00F82410" w:rsidRPr="00695C45">
        <w:rPr>
          <w:sz w:val="22"/>
          <w:szCs w:val="22"/>
        </w:rPr>
        <w:t>‘</w:t>
      </w:r>
      <w:r w:rsidRPr="00695C45">
        <w:rPr>
          <w:iCs/>
          <w:sz w:val="22"/>
          <w:szCs w:val="22"/>
        </w:rPr>
        <w:t>Modifications to the Opinion in the Independent Auditor’s Report</w:t>
      </w:r>
      <w:r w:rsidR="00F82410" w:rsidRPr="00695C45">
        <w:rPr>
          <w:iCs/>
          <w:sz w:val="22"/>
          <w:szCs w:val="22"/>
        </w:rPr>
        <w:t>’</w:t>
      </w:r>
      <w:r w:rsidRPr="00695C45">
        <w:rPr>
          <w:i/>
          <w:iCs/>
          <w:sz w:val="22"/>
          <w:szCs w:val="22"/>
        </w:rPr>
        <w:t xml:space="preserve"> </w:t>
      </w:r>
      <w:r w:rsidRPr="00695C45">
        <w:rPr>
          <w:sz w:val="22"/>
          <w:szCs w:val="22"/>
        </w:rPr>
        <w:t xml:space="preserve">describes the circumstances when a modification to the auditor’s opinion is required including when the auditor is unable to obtain sufficient appropriate audit evidence to conclude that the financial report </w:t>
      </w:r>
      <w:r w:rsidRPr="00695C45">
        <w:rPr>
          <w:i/>
          <w:sz w:val="22"/>
          <w:szCs w:val="22"/>
        </w:rPr>
        <w:t>as a whole</w:t>
      </w:r>
      <w:r w:rsidRPr="00695C45">
        <w:rPr>
          <w:sz w:val="22"/>
          <w:szCs w:val="22"/>
        </w:rPr>
        <w:t xml:space="preserve"> is free from material misstatement.</w:t>
      </w:r>
      <w:r w:rsidR="00F82410" w:rsidRPr="00695C45">
        <w:rPr>
          <w:sz w:val="22"/>
          <w:szCs w:val="22"/>
        </w:rPr>
        <w:t xml:space="preserve"> </w:t>
      </w:r>
      <w:r w:rsidRPr="00695C45">
        <w:rPr>
          <w:sz w:val="22"/>
          <w:szCs w:val="22"/>
        </w:rPr>
        <w:t xml:space="preserve"> In these circumstances the auditor would issue a qualified audit opinion </w:t>
      </w:r>
      <w:r w:rsidR="00F82410" w:rsidRPr="00695C45">
        <w:rPr>
          <w:sz w:val="22"/>
          <w:szCs w:val="22"/>
        </w:rPr>
        <w:t>for example:</w:t>
      </w:r>
      <w:r w:rsidRPr="00695C45">
        <w:rPr>
          <w:sz w:val="22"/>
          <w:szCs w:val="22"/>
        </w:rPr>
        <w:t xml:space="preserve"> </w:t>
      </w:r>
    </w:p>
    <w:p w:rsidR="00F82410" w:rsidRPr="00695C45" w:rsidRDefault="00F82410" w:rsidP="004F563B">
      <w:pPr>
        <w:pStyle w:val="Default"/>
        <w:ind w:left="567"/>
        <w:rPr>
          <w:sz w:val="22"/>
          <w:szCs w:val="22"/>
        </w:rPr>
      </w:pPr>
      <w:r w:rsidRPr="00695C45">
        <w:rPr>
          <w:i/>
          <w:iCs/>
          <w:sz w:val="22"/>
          <w:szCs w:val="22"/>
        </w:rPr>
        <w:t xml:space="preserve">Basis for Qualified Opinion </w:t>
      </w:r>
    </w:p>
    <w:p w:rsidR="00F82410" w:rsidRPr="004F563B" w:rsidRDefault="00F82410" w:rsidP="004F563B">
      <w:pPr>
        <w:pStyle w:val="Default"/>
        <w:ind w:left="567"/>
        <w:rPr>
          <w:i/>
          <w:sz w:val="22"/>
          <w:szCs w:val="22"/>
        </w:rPr>
      </w:pPr>
      <w:r w:rsidRPr="004F563B">
        <w:rPr>
          <w:i/>
          <w:sz w:val="22"/>
          <w:szCs w:val="22"/>
        </w:rPr>
        <w:t xml:space="preserve">(Identify type(s) of fundraising revenue) are a significant source of fundraising revenue for the </w:t>
      </w:r>
      <w:r w:rsidR="00695C45" w:rsidRPr="004F563B">
        <w:rPr>
          <w:i/>
          <w:sz w:val="22"/>
          <w:szCs w:val="22"/>
        </w:rPr>
        <w:t>(</w:t>
      </w:r>
      <w:r w:rsidRPr="004F563B">
        <w:rPr>
          <w:i/>
          <w:sz w:val="22"/>
          <w:szCs w:val="22"/>
        </w:rPr>
        <w:t>name of not-for-profit entity</w:t>
      </w:r>
      <w:r w:rsidR="00695C45" w:rsidRPr="004F563B">
        <w:rPr>
          <w:i/>
          <w:sz w:val="22"/>
          <w:szCs w:val="22"/>
        </w:rPr>
        <w:t>)</w:t>
      </w:r>
      <w:r w:rsidRPr="004F563B">
        <w:rPr>
          <w:i/>
          <w:sz w:val="22"/>
          <w:szCs w:val="22"/>
        </w:rPr>
        <w:t xml:space="preserve">.  The </w:t>
      </w:r>
      <w:r w:rsidR="00695C45" w:rsidRPr="004F563B">
        <w:rPr>
          <w:i/>
          <w:sz w:val="22"/>
          <w:szCs w:val="22"/>
        </w:rPr>
        <w:t>(</w:t>
      </w:r>
      <w:r w:rsidRPr="004F563B">
        <w:rPr>
          <w:i/>
          <w:sz w:val="22"/>
          <w:szCs w:val="22"/>
        </w:rPr>
        <w:t>name of not-for-profit entity</w:t>
      </w:r>
      <w:r w:rsidR="00695C45" w:rsidRPr="004F563B">
        <w:rPr>
          <w:i/>
          <w:sz w:val="22"/>
          <w:szCs w:val="22"/>
        </w:rPr>
        <w:t>)</w:t>
      </w:r>
      <w:r w:rsidRPr="004F563B">
        <w:rPr>
          <w:i/>
          <w:sz w:val="22"/>
          <w:szCs w:val="22"/>
        </w:rPr>
        <w:t xml:space="preserve"> has determined that it is impracticable to establish control over the collection of [identify type(s) of fundraising revenue] prior to entry into its financial records.  Accordingly, as the evidence available to us regarding fundraising revenue from this source was limited, our audit procedures with respect to (identify type(s) of fundraising revenue) had to be restricted to the amounts recorded in the financial </w:t>
      </w:r>
      <w:r w:rsidRPr="004F563B">
        <w:rPr>
          <w:i/>
          <w:sz w:val="22"/>
          <w:szCs w:val="22"/>
        </w:rPr>
        <w:lastRenderedPageBreak/>
        <w:t>records.  We therefore are unable to express an opinion whether (identify type(s) of fundraising revenue) of (name of not-for-profit entity</w:t>
      </w:r>
      <w:r w:rsidR="00695C45" w:rsidRPr="004F563B">
        <w:rPr>
          <w:i/>
          <w:sz w:val="22"/>
          <w:szCs w:val="22"/>
        </w:rPr>
        <w:t>)</w:t>
      </w:r>
      <w:r w:rsidRPr="004F563B">
        <w:rPr>
          <w:i/>
          <w:sz w:val="22"/>
          <w:szCs w:val="22"/>
        </w:rPr>
        <w:t xml:space="preserve"> recorded is complete. </w:t>
      </w:r>
    </w:p>
    <w:p w:rsidR="00695C45" w:rsidRPr="004F563B" w:rsidRDefault="00695C45" w:rsidP="004F563B">
      <w:pPr>
        <w:pStyle w:val="Default"/>
        <w:ind w:left="567"/>
        <w:rPr>
          <w:i/>
          <w:iCs/>
          <w:sz w:val="22"/>
          <w:szCs w:val="22"/>
        </w:rPr>
      </w:pPr>
    </w:p>
    <w:p w:rsidR="00F82410" w:rsidRPr="00695C45" w:rsidRDefault="00F82410" w:rsidP="004F563B">
      <w:pPr>
        <w:pStyle w:val="Default"/>
        <w:ind w:left="567"/>
        <w:rPr>
          <w:sz w:val="22"/>
          <w:szCs w:val="22"/>
        </w:rPr>
      </w:pPr>
      <w:r w:rsidRPr="00695C45">
        <w:rPr>
          <w:i/>
          <w:iCs/>
          <w:sz w:val="22"/>
          <w:szCs w:val="22"/>
        </w:rPr>
        <w:t xml:space="preserve">Qualified Opinion </w:t>
      </w:r>
    </w:p>
    <w:p w:rsidR="00F82410" w:rsidRPr="004F563B" w:rsidRDefault="00F82410" w:rsidP="004F563B">
      <w:pPr>
        <w:pStyle w:val="Default"/>
        <w:ind w:left="567"/>
        <w:rPr>
          <w:i/>
          <w:sz w:val="22"/>
          <w:szCs w:val="22"/>
        </w:rPr>
      </w:pPr>
      <w:r w:rsidRPr="004F563B">
        <w:rPr>
          <w:i/>
          <w:sz w:val="22"/>
          <w:szCs w:val="22"/>
        </w:rPr>
        <w:t xml:space="preserve">In our opinion, except for the possible effects of the matter described in the Basis for Qualified Opinion paragraph, the financial report of </w:t>
      </w:r>
      <w:r w:rsidR="00695C45" w:rsidRPr="004F563B">
        <w:rPr>
          <w:i/>
          <w:sz w:val="22"/>
          <w:szCs w:val="22"/>
        </w:rPr>
        <w:t>(</w:t>
      </w:r>
      <w:r w:rsidRPr="004F563B">
        <w:rPr>
          <w:i/>
          <w:sz w:val="22"/>
          <w:szCs w:val="22"/>
        </w:rPr>
        <w:t>name of not-for-profit entity</w:t>
      </w:r>
      <w:r w:rsidR="00695C45" w:rsidRPr="004F563B">
        <w:rPr>
          <w:i/>
          <w:sz w:val="22"/>
          <w:szCs w:val="22"/>
        </w:rPr>
        <w:t>)</w:t>
      </w:r>
      <w:r w:rsidRPr="004F563B">
        <w:rPr>
          <w:i/>
          <w:sz w:val="22"/>
          <w:szCs w:val="22"/>
        </w:rPr>
        <w:t xml:space="preserve">, presents fairly, in all material respects (or gives a true and fair view of) the financial position as at </w:t>
      </w:r>
      <w:r w:rsidR="00695C45" w:rsidRPr="004F563B">
        <w:rPr>
          <w:i/>
          <w:sz w:val="22"/>
          <w:szCs w:val="22"/>
        </w:rPr>
        <w:t>(</w:t>
      </w:r>
      <w:r w:rsidRPr="004F563B">
        <w:rPr>
          <w:i/>
          <w:sz w:val="22"/>
          <w:szCs w:val="22"/>
        </w:rPr>
        <w:t>year end</w:t>
      </w:r>
      <w:r w:rsidR="00695C45" w:rsidRPr="004F563B">
        <w:rPr>
          <w:i/>
          <w:sz w:val="22"/>
          <w:szCs w:val="22"/>
        </w:rPr>
        <w:t>)</w:t>
      </w:r>
      <w:r w:rsidRPr="004F563B">
        <w:rPr>
          <w:i/>
          <w:sz w:val="22"/>
          <w:szCs w:val="22"/>
        </w:rPr>
        <w:t xml:space="preserve">, and of its financial performance and its cash flows for the year then ended in accordance with Australian Accounting Standards and </w:t>
      </w:r>
      <w:r w:rsidR="00695C45" w:rsidRPr="004F563B">
        <w:rPr>
          <w:i/>
          <w:sz w:val="22"/>
          <w:szCs w:val="22"/>
        </w:rPr>
        <w:t>(</w:t>
      </w:r>
      <w:r w:rsidRPr="004F563B">
        <w:rPr>
          <w:i/>
          <w:sz w:val="22"/>
          <w:szCs w:val="22"/>
        </w:rPr>
        <w:t>relevant reporting framework</w:t>
      </w:r>
      <w:r w:rsidR="00695C45" w:rsidRPr="004F563B">
        <w:rPr>
          <w:i/>
          <w:sz w:val="22"/>
          <w:szCs w:val="22"/>
        </w:rPr>
        <w:t>)</w:t>
      </w:r>
      <w:r w:rsidRPr="004F563B">
        <w:rPr>
          <w:i/>
          <w:sz w:val="22"/>
          <w:szCs w:val="22"/>
        </w:rPr>
        <w:t>.</w:t>
      </w:r>
    </w:p>
    <w:p w:rsidR="00F82410" w:rsidRPr="004F563B" w:rsidRDefault="00F82410" w:rsidP="00700846">
      <w:pPr>
        <w:pStyle w:val="Default"/>
        <w:rPr>
          <w:i/>
          <w:sz w:val="22"/>
          <w:szCs w:val="22"/>
        </w:rPr>
      </w:pPr>
    </w:p>
    <w:p w:rsidR="008B168A" w:rsidRPr="000A4734" w:rsidRDefault="008B168A" w:rsidP="008B168A">
      <w:pPr>
        <w:pStyle w:val="Default"/>
        <w:rPr>
          <w:b/>
          <w:color w:val="990033"/>
        </w:rPr>
      </w:pPr>
      <w:r w:rsidRPr="000A4734">
        <w:rPr>
          <w:b/>
          <w:color w:val="990033"/>
        </w:rPr>
        <w:t>Action Items</w:t>
      </w:r>
    </w:p>
    <w:p w:rsidR="008B168A" w:rsidRPr="002E63BA" w:rsidRDefault="008B168A" w:rsidP="008B168A">
      <w:pPr>
        <w:pStyle w:val="Default"/>
        <w:rPr>
          <w:sz w:val="22"/>
          <w:szCs w:val="22"/>
        </w:rPr>
      </w:pPr>
    </w:p>
    <w:p w:rsidR="008B168A" w:rsidRPr="00BA46A8" w:rsidRDefault="008B168A" w:rsidP="008B168A">
      <w:pPr>
        <w:pStyle w:val="Default"/>
        <w:rPr>
          <w:sz w:val="22"/>
          <w:szCs w:val="22"/>
        </w:rPr>
      </w:pPr>
      <w:r w:rsidRPr="00BA46A8">
        <w:rPr>
          <w:sz w:val="22"/>
          <w:szCs w:val="22"/>
        </w:rPr>
        <w:t>Auditors may wish to consider the following action items in relation to the completeness assertion when auditing fund raising revenue:</w:t>
      </w:r>
    </w:p>
    <w:p w:rsidR="008B168A" w:rsidRPr="00BA46A8" w:rsidRDefault="008B168A" w:rsidP="008B168A">
      <w:pPr>
        <w:pStyle w:val="Default"/>
        <w:numPr>
          <w:ilvl w:val="0"/>
          <w:numId w:val="32"/>
        </w:numPr>
        <w:rPr>
          <w:bCs/>
          <w:iCs/>
          <w:sz w:val="22"/>
          <w:szCs w:val="22"/>
        </w:rPr>
      </w:pPr>
      <w:r w:rsidRPr="00BA46A8">
        <w:rPr>
          <w:sz w:val="22"/>
          <w:szCs w:val="22"/>
        </w:rPr>
        <w:t xml:space="preserve">For each NFP that has fund raising revenue revisit the audit approach and benchmark it against </w:t>
      </w:r>
      <w:r w:rsidRPr="00BA46A8">
        <w:rPr>
          <w:bCs/>
          <w:sz w:val="22"/>
          <w:szCs w:val="22"/>
        </w:rPr>
        <w:t>GS 019 ‘</w:t>
      </w:r>
      <w:r w:rsidRPr="00BA46A8">
        <w:rPr>
          <w:bCs/>
          <w:iCs/>
          <w:sz w:val="22"/>
          <w:szCs w:val="22"/>
        </w:rPr>
        <w:t>Auditing Fundraising Revenue of Not-for- Profit Entities’</w:t>
      </w:r>
      <w:r>
        <w:rPr>
          <w:bCs/>
          <w:iCs/>
          <w:sz w:val="22"/>
          <w:szCs w:val="22"/>
        </w:rPr>
        <w:t xml:space="preserve"> guidance</w:t>
      </w:r>
    </w:p>
    <w:p w:rsidR="008B168A" w:rsidRPr="00BA46A8" w:rsidRDefault="008B168A" w:rsidP="008B168A">
      <w:pPr>
        <w:pStyle w:val="Default"/>
        <w:numPr>
          <w:ilvl w:val="0"/>
          <w:numId w:val="32"/>
        </w:numPr>
        <w:rPr>
          <w:sz w:val="22"/>
          <w:szCs w:val="22"/>
        </w:rPr>
      </w:pPr>
      <w:r w:rsidRPr="00BA46A8">
        <w:rPr>
          <w:sz w:val="22"/>
          <w:szCs w:val="22"/>
        </w:rPr>
        <w:t>Tailor audit programs for client specific risks, audit risk assessment procedures and tests</w:t>
      </w:r>
    </w:p>
    <w:p w:rsidR="008B168A" w:rsidRPr="00BA46A8" w:rsidRDefault="008B168A" w:rsidP="008B168A">
      <w:pPr>
        <w:pStyle w:val="NoSpacing"/>
        <w:numPr>
          <w:ilvl w:val="0"/>
          <w:numId w:val="32"/>
        </w:numPr>
        <w:rPr>
          <w:rFonts w:ascii="Times New Roman" w:hAnsi="Times New Roman" w:cs="Times New Roman"/>
        </w:rPr>
      </w:pPr>
      <w:r w:rsidRPr="00BA46A8">
        <w:rPr>
          <w:rFonts w:ascii="Times New Roman" w:hAnsi="Times New Roman" w:cs="Times New Roman"/>
        </w:rPr>
        <w:t>Reconsider the need for training on the risk based auditing standards (e.g., ASA 315 ‘Identifying and Assessing the Risks of Material Misstatement through Understanding the Entity and Its Environment’</w:t>
      </w:r>
      <w:r w:rsidR="000A4734">
        <w:rPr>
          <w:rFonts w:ascii="Times New Roman" w:hAnsi="Times New Roman" w:cs="Times New Roman"/>
        </w:rPr>
        <w:t>,</w:t>
      </w:r>
      <w:r w:rsidRPr="00BA46A8">
        <w:rPr>
          <w:rFonts w:ascii="Times New Roman" w:hAnsi="Times New Roman" w:cs="Times New Roman"/>
        </w:rPr>
        <w:t xml:space="preserve"> ASA 330 ‘The Auditor’s Responses to Assessed Risks’</w:t>
      </w:r>
      <w:r w:rsidR="000A4734">
        <w:rPr>
          <w:rFonts w:ascii="Times New Roman" w:hAnsi="Times New Roman" w:cs="Times New Roman"/>
        </w:rPr>
        <w:t>,</w:t>
      </w:r>
      <w:r w:rsidRPr="00BA46A8">
        <w:rPr>
          <w:rFonts w:ascii="Times New Roman" w:hAnsi="Times New Roman" w:cs="Times New Roman"/>
        </w:rPr>
        <w:t xml:space="preserve"> and ASA 240 </w:t>
      </w:r>
      <w:r>
        <w:rPr>
          <w:rFonts w:ascii="Times New Roman" w:hAnsi="Times New Roman" w:cs="Times New Roman"/>
        </w:rPr>
        <w:t>‘</w:t>
      </w:r>
      <w:r w:rsidRPr="00BA46A8">
        <w:rPr>
          <w:rFonts w:ascii="Times New Roman" w:hAnsi="Times New Roman" w:cs="Times New Roman"/>
        </w:rPr>
        <w:t>The Auditor’s Responsibilities Relating to Fraud in an Audit of a Financial Report</w:t>
      </w:r>
      <w:r>
        <w:rPr>
          <w:rFonts w:ascii="Times New Roman" w:hAnsi="Times New Roman" w:cs="Times New Roman"/>
        </w:rPr>
        <w:t>’</w:t>
      </w:r>
      <w:r w:rsidRPr="00BA46A8">
        <w:rPr>
          <w:rFonts w:ascii="Times New Roman" w:hAnsi="Times New Roman" w:cs="Times New Roman"/>
        </w:rPr>
        <w:t>)</w:t>
      </w:r>
    </w:p>
    <w:p w:rsidR="008B168A" w:rsidRPr="00BA46A8" w:rsidRDefault="008B168A" w:rsidP="008B168A">
      <w:pPr>
        <w:pStyle w:val="Default"/>
        <w:numPr>
          <w:ilvl w:val="0"/>
          <w:numId w:val="32"/>
        </w:numPr>
        <w:rPr>
          <w:sz w:val="22"/>
          <w:szCs w:val="22"/>
        </w:rPr>
      </w:pPr>
      <w:r w:rsidRPr="00BA46A8">
        <w:rPr>
          <w:sz w:val="22"/>
          <w:szCs w:val="22"/>
        </w:rPr>
        <w:t>Update NFP audit report precedents</w:t>
      </w:r>
    </w:p>
    <w:p w:rsidR="008B168A" w:rsidRDefault="008B168A" w:rsidP="008B168A">
      <w:pPr>
        <w:pStyle w:val="Default"/>
        <w:numPr>
          <w:ilvl w:val="0"/>
          <w:numId w:val="32"/>
        </w:numPr>
        <w:rPr>
          <w:sz w:val="22"/>
          <w:szCs w:val="22"/>
        </w:rPr>
      </w:pPr>
      <w:r w:rsidRPr="00BA46A8">
        <w:rPr>
          <w:sz w:val="22"/>
          <w:szCs w:val="22"/>
        </w:rPr>
        <w:t xml:space="preserve">Place additional emphasis on </w:t>
      </w:r>
      <w:r>
        <w:rPr>
          <w:sz w:val="22"/>
          <w:szCs w:val="22"/>
        </w:rPr>
        <w:t>c</w:t>
      </w:r>
      <w:r w:rsidRPr="00BA46A8">
        <w:rPr>
          <w:sz w:val="22"/>
          <w:szCs w:val="22"/>
        </w:rPr>
        <w:t xml:space="preserve">ommunicating to </w:t>
      </w:r>
      <w:r>
        <w:rPr>
          <w:sz w:val="22"/>
          <w:szCs w:val="22"/>
        </w:rPr>
        <w:t>g</w:t>
      </w:r>
      <w:r w:rsidRPr="00BA46A8">
        <w:rPr>
          <w:sz w:val="22"/>
          <w:szCs w:val="22"/>
        </w:rPr>
        <w:t>overnance internal control deficiencies over fund raising</w:t>
      </w:r>
      <w:r>
        <w:rPr>
          <w:sz w:val="22"/>
          <w:szCs w:val="22"/>
        </w:rPr>
        <w:t>, and</w:t>
      </w:r>
    </w:p>
    <w:p w:rsidR="008B168A" w:rsidRDefault="008B168A" w:rsidP="008B168A">
      <w:pPr>
        <w:pStyle w:val="Default"/>
        <w:numPr>
          <w:ilvl w:val="0"/>
          <w:numId w:val="32"/>
        </w:numPr>
        <w:rPr>
          <w:sz w:val="22"/>
          <w:szCs w:val="22"/>
        </w:rPr>
      </w:pPr>
      <w:r>
        <w:rPr>
          <w:sz w:val="22"/>
          <w:szCs w:val="22"/>
        </w:rPr>
        <w:t>Seek assistance with emphasis of matter and modified audit opinions.</w:t>
      </w:r>
    </w:p>
    <w:p w:rsidR="008B168A" w:rsidRDefault="008B168A" w:rsidP="00700846">
      <w:pPr>
        <w:pStyle w:val="Default"/>
        <w:rPr>
          <w:sz w:val="22"/>
          <w:szCs w:val="22"/>
        </w:rPr>
      </w:pPr>
    </w:p>
    <w:p w:rsidR="00F2056D" w:rsidRPr="00F2056D" w:rsidRDefault="00F2056D" w:rsidP="00700846">
      <w:pPr>
        <w:pStyle w:val="Default"/>
        <w:rPr>
          <w:b/>
          <w:color w:val="990033"/>
        </w:rPr>
      </w:pPr>
      <w:r w:rsidRPr="00F2056D">
        <w:rPr>
          <w:b/>
          <w:color w:val="990033"/>
        </w:rPr>
        <w:t>Conclusion</w:t>
      </w:r>
    </w:p>
    <w:p w:rsidR="00F2056D" w:rsidRDefault="00F2056D" w:rsidP="00700846">
      <w:pPr>
        <w:pStyle w:val="Default"/>
        <w:rPr>
          <w:sz w:val="22"/>
          <w:szCs w:val="22"/>
        </w:rPr>
      </w:pPr>
    </w:p>
    <w:p w:rsidR="00ED3A0B" w:rsidRDefault="00ED3A0B" w:rsidP="00700846">
      <w:pPr>
        <w:pStyle w:val="Default"/>
        <w:rPr>
          <w:sz w:val="22"/>
          <w:szCs w:val="22"/>
        </w:rPr>
      </w:pPr>
      <w:r>
        <w:rPr>
          <w:sz w:val="22"/>
          <w:szCs w:val="22"/>
        </w:rPr>
        <w:t xml:space="preserve">The Auditing and Assurance Standards Board has provided a timely update on the auditing issues concerning the completeness assertion for fund raising revenue.  The revised guidance is </w:t>
      </w:r>
      <w:r w:rsidR="007C5DFD">
        <w:rPr>
          <w:sz w:val="22"/>
          <w:szCs w:val="22"/>
        </w:rPr>
        <w:t xml:space="preserve">now </w:t>
      </w:r>
      <w:r>
        <w:rPr>
          <w:sz w:val="22"/>
          <w:szCs w:val="22"/>
        </w:rPr>
        <w:t xml:space="preserve">consistent with </w:t>
      </w:r>
      <w:r w:rsidR="007C5DFD">
        <w:rPr>
          <w:sz w:val="22"/>
          <w:szCs w:val="22"/>
        </w:rPr>
        <w:t xml:space="preserve">the </w:t>
      </w:r>
      <w:r>
        <w:rPr>
          <w:sz w:val="22"/>
          <w:szCs w:val="22"/>
        </w:rPr>
        <w:t>risk-based audi</w:t>
      </w:r>
      <w:r w:rsidR="007C5DFD">
        <w:rPr>
          <w:sz w:val="22"/>
          <w:szCs w:val="22"/>
        </w:rPr>
        <w:t xml:space="preserve">ting </w:t>
      </w:r>
      <w:r w:rsidR="0081522D">
        <w:rPr>
          <w:sz w:val="22"/>
          <w:szCs w:val="22"/>
        </w:rPr>
        <w:t xml:space="preserve">standards </w:t>
      </w:r>
      <w:r w:rsidR="007C5DFD">
        <w:rPr>
          <w:sz w:val="22"/>
          <w:szCs w:val="22"/>
        </w:rPr>
        <w:t>(including fraud), and revised audit reporting requirements</w:t>
      </w:r>
      <w:r w:rsidR="0081522D">
        <w:rPr>
          <w:sz w:val="22"/>
          <w:szCs w:val="22"/>
        </w:rPr>
        <w:t xml:space="preserve"> under Clarity</w:t>
      </w:r>
      <w:r w:rsidR="00486DAE">
        <w:rPr>
          <w:sz w:val="22"/>
          <w:szCs w:val="22"/>
        </w:rPr>
        <w:t xml:space="preserve"> auditing standards</w:t>
      </w:r>
      <w:r w:rsidR="007C5DFD">
        <w:rPr>
          <w:sz w:val="22"/>
          <w:szCs w:val="22"/>
        </w:rPr>
        <w:t xml:space="preserve">.  The guidance reminds auditors of the importance of ASA </w:t>
      </w:r>
      <w:r w:rsidR="007C5DFD" w:rsidRPr="00700846">
        <w:rPr>
          <w:sz w:val="22"/>
          <w:szCs w:val="22"/>
        </w:rPr>
        <w:t xml:space="preserve">260 </w:t>
      </w:r>
      <w:r w:rsidR="007C5DFD">
        <w:rPr>
          <w:sz w:val="22"/>
          <w:szCs w:val="22"/>
        </w:rPr>
        <w:t>‘</w:t>
      </w:r>
      <w:r w:rsidR="007C5DFD" w:rsidRPr="00700846">
        <w:rPr>
          <w:iCs/>
          <w:sz w:val="22"/>
          <w:szCs w:val="22"/>
        </w:rPr>
        <w:t>Communication with Those Charged with Governance</w:t>
      </w:r>
      <w:r w:rsidR="007C5DFD">
        <w:rPr>
          <w:iCs/>
          <w:sz w:val="22"/>
          <w:szCs w:val="22"/>
        </w:rPr>
        <w:t>’</w:t>
      </w:r>
      <w:r w:rsidR="0081522D">
        <w:rPr>
          <w:iCs/>
          <w:sz w:val="22"/>
          <w:szCs w:val="22"/>
        </w:rPr>
        <w:t xml:space="preserve"> both on internal controls and also significant matters arising from the audit</w:t>
      </w:r>
      <w:r w:rsidR="007C5DFD">
        <w:rPr>
          <w:iCs/>
          <w:sz w:val="22"/>
          <w:szCs w:val="22"/>
        </w:rPr>
        <w:t>.</w:t>
      </w:r>
      <w:r>
        <w:rPr>
          <w:sz w:val="22"/>
          <w:szCs w:val="22"/>
        </w:rPr>
        <w:t xml:space="preserve"> </w:t>
      </w:r>
      <w:r w:rsidR="00CC5EBE">
        <w:rPr>
          <w:sz w:val="22"/>
          <w:szCs w:val="22"/>
        </w:rPr>
        <w:t xml:space="preserve"> The issue of </w:t>
      </w:r>
      <w:r w:rsidR="00CC5EBE" w:rsidRPr="00481C4C">
        <w:rPr>
          <w:bCs/>
          <w:sz w:val="22"/>
          <w:szCs w:val="22"/>
        </w:rPr>
        <w:t>GS 019 ‘</w:t>
      </w:r>
      <w:r w:rsidR="00CC5EBE" w:rsidRPr="00481C4C">
        <w:rPr>
          <w:bCs/>
          <w:iCs/>
          <w:sz w:val="22"/>
          <w:szCs w:val="22"/>
        </w:rPr>
        <w:t>Auditing Fundraising Revenue of Not-for- Profit Entities’</w:t>
      </w:r>
      <w:r w:rsidR="00CC5EBE">
        <w:rPr>
          <w:bCs/>
          <w:iCs/>
          <w:sz w:val="22"/>
          <w:szCs w:val="22"/>
        </w:rPr>
        <w:t xml:space="preserve"> provides the opportunity for auditors to benchmark their </w:t>
      </w:r>
      <w:r w:rsidR="00486DAE">
        <w:rPr>
          <w:bCs/>
          <w:iCs/>
          <w:sz w:val="22"/>
          <w:szCs w:val="22"/>
        </w:rPr>
        <w:t xml:space="preserve">existing </w:t>
      </w:r>
      <w:r w:rsidR="00CC5EBE">
        <w:rPr>
          <w:bCs/>
          <w:iCs/>
          <w:sz w:val="22"/>
          <w:szCs w:val="22"/>
        </w:rPr>
        <w:t>approach to individual NFP audit and review engagements.</w:t>
      </w:r>
    </w:p>
    <w:p w:rsidR="00F2056D" w:rsidRPr="00642F03" w:rsidRDefault="00F2056D" w:rsidP="00700846">
      <w:pPr>
        <w:pStyle w:val="Default"/>
        <w:rPr>
          <w:sz w:val="22"/>
          <w:szCs w:val="22"/>
        </w:rPr>
      </w:pPr>
    </w:p>
    <w:p w:rsidR="00C54E3F" w:rsidRPr="00642F03" w:rsidRDefault="00C54E3F" w:rsidP="00700846">
      <w:pPr>
        <w:pStyle w:val="Default"/>
        <w:rPr>
          <w:sz w:val="22"/>
          <w:szCs w:val="22"/>
        </w:rPr>
      </w:pPr>
      <w:r w:rsidRPr="00642F03">
        <w:rPr>
          <w:sz w:val="22"/>
          <w:szCs w:val="22"/>
        </w:rPr>
        <w:t xml:space="preserve">Remember the expression of a qualified opinion in respect of the completeness of cash donations as a portion of fundraising revenue </w:t>
      </w:r>
      <w:r w:rsidRPr="00642F03">
        <w:rPr>
          <w:i/>
          <w:sz w:val="22"/>
          <w:szCs w:val="22"/>
        </w:rPr>
        <w:t>ought not to occur as a matter of course</w:t>
      </w:r>
      <w:r w:rsidRPr="00642F03">
        <w:rPr>
          <w:sz w:val="22"/>
          <w:szCs w:val="22"/>
        </w:rPr>
        <w:t xml:space="preserve"> for all not-for-profit entities that receive cash donations.  Consideration needs to be given to </w:t>
      </w:r>
      <w:r w:rsidRPr="00642F03">
        <w:rPr>
          <w:i/>
          <w:sz w:val="22"/>
          <w:szCs w:val="22"/>
        </w:rPr>
        <w:t>materiality</w:t>
      </w:r>
      <w:r w:rsidRPr="00642F03">
        <w:rPr>
          <w:sz w:val="22"/>
          <w:szCs w:val="22"/>
        </w:rPr>
        <w:t xml:space="preserve"> and </w:t>
      </w:r>
      <w:r w:rsidRPr="00642F03">
        <w:rPr>
          <w:i/>
          <w:sz w:val="22"/>
          <w:szCs w:val="22"/>
        </w:rPr>
        <w:t>mitigation of risks.</w:t>
      </w:r>
    </w:p>
    <w:p w:rsidR="00C54E3F" w:rsidRDefault="00C54E3F" w:rsidP="00700846">
      <w:pPr>
        <w:pStyle w:val="Default"/>
        <w:rPr>
          <w:sz w:val="22"/>
          <w:szCs w:val="22"/>
        </w:rPr>
      </w:pPr>
    </w:p>
    <w:p w:rsidR="003E6F5B" w:rsidRPr="0079155B" w:rsidRDefault="000C61C0" w:rsidP="006328FD">
      <w:pPr>
        <w:pStyle w:val="Default"/>
        <w:rPr>
          <w:b/>
          <w:color w:val="990033"/>
        </w:rPr>
      </w:pPr>
      <w:r w:rsidRPr="0079155B">
        <w:rPr>
          <w:b/>
          <w:color w:val="990033"/>
        </w:rPr>
        <w:t xml:space="preserve">About the </w:t>
      </w:r>
      <w:r w:rsidR="00ED3A0B" w:rsidRPr="0079155B">
        <w:rPr>
          <w:b/>
          <w:color w:val="990033"/>
        </w:rPr>
        <w:t>A</w:t>
      </w:r>
      <w:r w:rsidRPr="0079155B">
        <w:rPr>
          <w:b/>
          <w:color w:val="990033"/>
        </w:rPr>
        <w:t>uthors</w:t>
      </w:r>
    </w:p>
    <w:p w:rsidR="000C61C0" w:rsidRDefault="000C61C0" w:rsidP="006328FD">
      <w:pPr>
        <w:pStyle w:val="Default"/>
        <w:rPr>
          <w:sz w:val="20"/>
          <w:szCs w:val="20"/>
        </w:rPr>
      </w:pPr>
    </w:p>
    <w:p w:rsidR="004F563B" w:rsidRPr="000A4734" w:rsidRDefault="004F563B" w:rsidP="004F563B">
      <w:pPr>
        <w:pStyle w:val="Default"/>
        <w:rPr>
          <w:sz w:val="22"/>
          <w:szCs w:val="22"/>
        </w:rPr>
      </w:pPr>
      <w:r w:rsidRPr="000A4734">
        <w:rPr>
          <w:b/>
          <w:color w:val="990033"/>
          <w:sz w:val="22"/>
          <w:szCs w:val="22"/>
        </w:rPr>
        <w:t>Michael Cain</w:t>
      </w:r>
      <w:r w:rsidRPr="000A4734">
        <w:rPr>
          <w:sz w:val="22"/>
          <w:szCs w:val="22"/>
        </w:rPr>
        <w:t xml:space="preserve"> FCA is the team leader for assurances services which includes training, quality assurance reviews and advisory services.</w:t>
      </w:r>
    </w:p>
    <w:p w:rsidR="004F563B" w:rsidRDefault="004F563B" w:rsidP="006328FD">
      <w:pPr>
        <w:pStyle w:val="Default"/>
        <w:rPr>
          <w:sz w:val="20"/>
          <w:szCs w:val="20"/>
        </w:rPr>
      </w:pPr>
    </w:p>
    <w:p w:rsidR="005D1D0B" w:rsidRPr="000A4734" w:rsidRDefault="00ED3A0B" w:rsidP="006328FD">
      <w:pPr>
        <w:pStyle w:val="Default"/>
        <w:rPr>
          <w:sz w:val="22"/>
          <w:szCs w:val="22"/>
        </w:rPr>
      </w:pPr>
      <w:r w:rsidRPr="000A4734">
        <w:rPr>
          <w:b/>
          <w:color w:val="990033"/>
          <w:sz w:val="22"/>
          <w:szCs w:val="22"/>
        </w:rPr>
        <w:t>Colin Parker</w:t>
      </w:r>
      <w:r w:rsidRPr="000A4734">
        <w:rPr>
          <w:sz w:val="22"/>
          <w:szCs w:val="22"/>
        </w:rPr>
        <w:t xml:space="preserve"> FCA is the team leader of the GAAP Consulting Network and is responsible for advisory and litigation support </w:t>
      </w:r>
      <w:r w:rsidR="0079155B">
        <w:rPr>
          <w:sz w:val="22"/>
          <w:szCs w:val="22"/>
        </w:rPr>
        <w:t xml:space="preserve">services for </w:t>
      </w:r>
      <w:r w:rsidR="00CC5EBE" w:rsidRPr="000A4734">
        <w:rPr>
          <w:sz w:val="22"/>
          <w:szCs w:val="22"/>
        </w:rPr>
        <w:t>GAAP and GAAS</w:t>
      </w:r>
      <w:r w:rsidRPr="000A4734">
        <w:rPr>
          <w:sz w:val="22"/>
          <w:szCs w:val="22"/>
        </w:rPr>
        <w:t xml:space="preserve"> (</w:t>
      </w:r>
      <w:hyperlink r:id="rId8" w:history="1">
        <w:r w:rsidRPr="000A4734">
          <w:rPr>
            <w:rStyle w:val="Hyperlink"/>
            <w:sz w:val="22"/>
            <w:szCs w:val="22"/>
          </w:rPr>
          <w:t>www.gaap.com.au</w:t>
        </w:r>
      </w:hyperlink>
      <w:r w:rsidRPr="000A4734">
        <w:rPr>
          <w:sz w:val="22"/>
          <w:szCs w:val="22"/>
        </w:rPr>
        <w:t xml:space="preserve">, </w:t>
      </w:r>
      <w:hyperlink r:id="rId9" w:history="1">
        <w:r w:rsidRPr="000A4734">
          <w:rPr>
            <w:rStyle w:val="Hyperlink"/>
            <w:sz w:val="22"/>
            <w:szCs w:val="22"/>
          </w:rPr>
          <w:t>colin@gaap.com.au</w:t>
        </w:r>
      </w:hyperlink>
      <w:r w:rsidRPr="000A4734">
        <w:rPr>
          <w:sz w:val="22"/>
          <w:szCs w:val="22"/>
        </w:rPr>
        <w:t>, 0421 088 611)</w:t>
      </w:r>
      <w:r w:rsidR="00642F03">
        <w:rPr>
          <w:sz w:val="22"/>
          <w:szCs w:val="22"/>
        </w:rPr>
        <w:t>.</w:t>
      </w:r>
    </w:p>
    <w:p w:rsidR="00ED3A0B" w:rsidRPr="000A4734" w:rsidRDefault="00ED3A0B" w:rsidP="006328FD">
      <w:pPr>
        <w:pStyle w:val="Default"/>
        <w:rPr>
          <w:sz w:val="22"/>
          <w:szCs w:val="22"/>
        </w:rPr>
      </w:pPr>
    </w:p>
    <w:p w:rsidR="000A4734" w:rsidRPr="000A4734" w:rsidRDefault="000A4734" w:rsidP="000A4734">
      <w:pPr>
        <w:pStyle w:val="BodyText"/>
        <w:rPr>
          <w:rFonts w:ascii="Times New Roman" w:hAnsi="Times New Roman"/>
          <w:b/>
          <w:color w:val="990033"/>
          <w:sz w:val="20"/>
        </w:rPr>
      </w:pPr>
      <w:r w:rsidRPr="000A4734">
        <w:rPr>
          <w:rFonts w:ascii="Times New Roman" w:hAnsi="Times New Roman"/>
          <w:b/>
          <w:color w:val="990033"/>
          <w:sz w:val="20"/>
        </w:rPr>
        <w:t>© Accountnet Pty Ltd</w:t>
      </w:r>
    </w:p>
    <w:p w:rsidR="000A4734" w:rsidRDefault="000A4734" w:rsidP="000A4734">
      <w:pPr>
        <w:pStyle w:val="BodyText"/>
        <w:rPr>
          <w:rFonts w:ascii="Times New Roman" w:hAnsi="Times New Roman"/>
          <w:sz w:val="18"/>
        </w:rPr>
      </w:pPr>
    </w:p>
    <w:p w:rsidR="000A4734" w:rsidRDefault="000A4734" w:rsidP="000A4734">
      <w:pPr>
        <w:pStyle w:val="BodyText"/>
        <w:rPr>
          <w:rFonts w:ascii="Times New Roman" w:hAnsi="Times New Roman"/>
          <w:sz w:val="18"/>
        </w:rPr>
      </w:pPr>
      <w:r>
        <w:rPr>
          <w:rFonts w:ascii="Times New Roman" w:hAnsi="Times New Roman"/>
          <w:sz w:val="18"/>
        </w:rPr>
        <w:t>This communication provides general information current at the time of release.  It is not intended that the information provide advice and should not be relied on as such.  Professional advice should be sought prior to actions on any of the information contained herein.</w:t>
      </w:r>
    </w:p>
    <w:p w:rsidR="000A4734" w:rsidRDefault="000A4734" w:rsidP="006328FD">
      <w:pPr>
        <w:pStyle w:val="Default"/>
        <w:rPr>
          <w:sz w:val="20"/>
          <w:szCs w:val="20"/>
        </w:rPr>
      </w:pPr>
    </w:p>
    <w:p w:rsidR="000A4734" w:rsidRDefault="000A4734" w:rsidP="006328FD">
      <w:pPr>
        <w:pStyle w:val="Default"/>
        <w:rPr>
          <w:sz w:val="20"/>
          <w:szCs w:val="20"/>
        </w:rPr>
      </w:pPr>
    </w:p>
    <w:p w:rsidR="001D40AF" w:rsidRDefault="001D40AF">
      <w:pPr>
        <w:rPr>
          <w:rFonts w:ascii="Times New Roman" w:hAnsi="Times New Roman" w:cs="Times New Roman"/>
          <w:color w:val="000000"/>
          <w:sz w:val="20"/>
          <w:szCs w:val="20"/>
        </w:rPr>
      </w:pPr>
      <w:r>
        <w:rPr>
          <w:sz w:val="20"/>
          <w:szCs w:val="20"/>
        </w:rPr>
        <w:br w:type="page"/>
      </w:r>
    </w:p>
    <w:p w:rsidR="001D40AF" w:rsidRPr="001D40AF" w:rsidRDefault="001D40AF" w:rsidP="001D40AF">
      <w:pPr>
        <w:pStyle w:val="Default"/>
        <w:jc w:val="center"/>
        <w:rPr>
          <w:b/>
          <w:color w:val="990033"/>
          <w:sz w:val="28"/>
          <w:szCs w:val="28"/>
        </w:rPr>
      </w:pPr>
      <w:r w:rsidRPr="001D40AF">
        <w:rPr>
          <w:b/>
          <w:color w:val="990033"/>
          <w:sz w:val="28"/>
          <w:szCs w:val="28"/>
        </w:rPr>
        <w:lastRenderedPageBreak/>
        <w:t>Appendix 1</w:t>
      </w:r>
      <w:r>
        <w:rPr>
          <w:b/>
          <w:color w:val="990033"/>
          <w:sz w:val="28"/>
          <w:szCs w:val="28"/>
        </w:rPr>
        <w:t>:</w:t>
      </w:r>
      <w:r w:rsidRPr="001D40AF">
        <w:rPr>
          <w:b/>
          <w:color w:val="990033"/>
          <w:sz w:val="28"/>
          <w:szCs w:val="28"/>
        </w:rPr>
        <w:t xml:space="preserve"> Fundraising and Possible Internal Controls</w:t>
      </w:r>
    </w:p>
    <w:p w:rsidR="001D40AF" w:rsidRDefault="001D40AF" w:rsidP="001D40AF">
      <w:pPr>
        <w:pStyle w:val="Default"/>
        <w:rPr>
          <w:sz w:val="22"/>
          <w:szCs w:val="22"/>
        </w:rPr>
      </w:pPr>
    </w:p>
    <w:tbl>
      <w:tblPr>
        <w:tblStyle w:val="TableGrid"/>
        <w:tblW w:w="9606" w:type="dxa"/>
        <w:tblLook w:val="04A0"/>
      </w:tblPr>
      <w:tblGrid>
        <w:gridCol w:w="1499"/>
        <w:gridCol w:w="8107"/>
      </w:tblGrid>
      <w:tr w:rsidR="001D40AF" w:rsidRPr="00F46088" w:rsidTr="001D40AF">
        <w:tc>
          <w:tcPr>
            <w:tcW w:w="1499" w:type="dxa"/>
          </w:tcPr>
          <w:p w:rsidR="001D40AF" w:rsidRPr="00B25D8D" w:rsidRDefault="001D40AF" w:rsidP="00DE63F7">
            <w:pPr>
              <w:pStyle w:val="Default"/>
              <w:rPr>
                <w:b/>
                <w:color w:val="990033"/>
                <w:sz w:val="22"/>
                <w:szCs w:val="22"/>
              </w:rPr>
            </w:pPr>
            <w:r w:rsidRPr="00B25D8D">
              <w:rPr>
                <w:b/>
                <w:color w:val="990033"/>
                <w:sz w:val="22"/>
                <w:szCs w:val="22"/>
              </w:rPr>
              <w:t xml:space="preserve">Fundraising Source </w:t>
            </w:r>
          </w:p>
        </w:tc>
        <w:tc>
          <w:tcPr>
            <w:tcW w:w="8107" w:type="dxa"/>
          </w:tcPr>
          <w:p w:rsidR="001D40AF" w:rsidRPr="00B25D8D" w:rsidRDefault="001D40AF" w:rsidP="00DE63F7">
            <w:pPr>
              <w:pStyle w:val="Default"/>
              <w:rPr>
                <w:b/>
                <w:color w:val="990033"/>
                <w:sz w:val="22"/>
                <w:szCs w:val="22"/>
              </w:rPr>
            </w:pPr>
            <w:r w:rsidRPr="00B25D8D">
              <w:rPr>
                <w:b/>
                <w:color w:val="990033"/>
                <w:sz w:val="22"/>
                <w:szCs w:val="22"/>
              </w:rPr>
              <w:t>Possible Internal Controls</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bCs/>
                <w:color w:val="808080" w:themeColor="background1" w:themeShade="80"/>
                <w:sz w:val="22"/>
                <w:szCs w:val="22"/>
              </w:rPr>
              <w:t>Cash donations</w:t>
            </w:r>
          </w:p>
        </w:tc>
        <w:tc>
          <w:tcPr>
            <w:tcW w:w="8107" w:type="dxa"/>
          </w:tcPr>
          <w:p w:rsidR="001D40AF" w:rsidRPr="00F46088" w:rsidRDefault="001D40AF" w:rsidP="00DE63F7">
            <w:pPr>
              <w:pStyle w:val="Default"/>
              <w:numPr>
                <w:ilvl w:val="0"/>
                <w:numId w:val="10"/>
              </w:numPr>
              <w:rPr>
                <w:sz w:val="22"/>
                <w:szCs w:val="22"/>
              </w:rPr>
            </w:pPr>
            <w:r w:rsidRPr="00F46088">
              <w:rPr>
                <w:sz w:val="22"/>
                <w:szCs w:val="22"/>
              </w:rPr>
              <w:t xml:space="preserve">Numerical control over collection boxes/tins </w:t>
            </w:r>
          </w:p>
          <w:p w:rsidR="001D40AF" w:rsidRPr="00F46088" w:rsidRDefault="001D40AF" w:rsidP="00DE63F7">
            <w:pPr>
              <w:pStyle w:val="Default"/>
              <w:numPr>
                <w:ilvl w:val="0"/>
                <w:numId w:val="10"/>
              </w:numPr>
              <w:rPr>
                <w:sz w:val="22"/>
                <w:szCs w:val="22"/>
              </w:rPr>
            </w:pPr>
            <w:r w:rsidRPr="00F46088">
              <w:rPr>
                <w:sz w:val="22"/>
                <w:szCs w:val="22"/>
              </w:rPr>
              <w:t xml:space="preserve">Appropriate sealing of collection boxes/tins so that any opening prior to recording cash is apparent </w:t>
            </w:r>
          </w:p>
          <w:p w:rsidR="001D40AF" w:rsidRPr="00F46088" w:rsidRDefault="001D40AF" w:rsidP="00DE63F7">
            <w:pPr>
              <w:pStyle w:val="ListParagraph"/>
              <w:numPr>
                <w:ilvl w:val="0"/>
                <w:numId w:val="10"/>
              </w:numPr>
              <w:autoSpaceDE w:val="0"/>
              <w:autoSpaceDN w:val="0"/>
              <w:adjustRightInd w:val="0"/>
              <w:rPr>
                <w:rFonts w:ascii="Times New Roman" w:hAnsi="Times New Roman" w:cs="Times New Roman"/>
                <w:color w:val="000000"/>
              </w:rPr>
            </w:pPr>
            <w:r w:rsidRPr="00F46088">
              <w:rPr>
                <w:rFonts w:ascii="Times New Roman" w:hAnsi="Times New Roman" w:cs="Times New Roman"/>
                <w:color w:val="000000"/>
              </w:rPr>
              <w:t xml:space="preserve">Collectors to operate in pairs (one collector is able to observe the actions of the other) </w:t>
            </w:r>
          </w:p>
          <w:p w:rsidR="001D40AF" w:rsidRPr="00F46088" w:rsidRDefault="001D40AF" w:rsidP="00DE63F7">
            <w:pPr>
              <w:pStyle w:val="Default"/>
              <w:numPr>
                <w:ilvl w:val="0"/>
                <w:numId w:val="10"/>
              </w:numPr>
              <w:rPr>
                <w:sz w:val="22"/>
                <w:szCs w:val="22"/>
              </w:rPr>
            </w:pPr>
            <w:r w:rsidRPr="00F46088">
              <w:rPr>
                <w:sz w:val="22"/>
                <w:szCs w:val="22"/>
              </w:rPr>
              <w:t>Regular collection and recording of proceeds from collection boxes/tins</w:t>
            </w:r>
          </w:p>
          <w:p w:rsidR="001D40AF" w:rsidRPr="00F46088" w:rsidRDefault="001D40AF" w:rsidP="00DE63F7">
            <w:pPr>
              <w:pStyle w:val="Default"/>
              <w:numPr>
                <w:ilvl w:val="0"/>
                <w:numId w:val="10"/>
              </w:numPr>
              <w:rPr>
                <w:sz w:val="22"/>
                <w:szCs w:val="22"/>
              </w:rPr>
            </w:pPr>
            <w:r w:rsidRPr="00F46088">
              <w:rPr>
                <w:sz w:val="22"/>
                <w:szCs w:val="22"/>
              </w:rPr>
              <w:t>Issue receipts where appropriate</w:t>
            </w:r>
          </w:p>
          <w:p w:rsidR="001D40AF" w:rsidRPr="00F46088" w:rsidRDefault="001D40AF" w:rsidP="00DE63F7">
            <w:pPr>
              <w:pStyle w:val="Default"/>
              <w:numPr>
                <w:ilvl w:val="0"/>
                <w:numId w:val="10"/>
              </w:numPr>
              <w:rPr>
                <w:sz w:val="22"/>
                <w:szCs w:val="22"/>
              </w:rPr>
            </w:pPr>
            <w:r w:rsidRPr="00F46088">
              <w:rPr>
                <w:sz w:val="22"/>
                <w:szCs w:val="22"/>
              </w:rPr>
              <w:t xml:space="preserve">Establish dual control over counting and recording of proceeds independent of collectors </w:t>
            </w:r>
          </w:p>
          <w:p w:rsidR="001D40AF" w:rsidRPr="00F46088" w:rsidRDefault="001D40AF" w:rsidP="00DE63F7">
            <w:pPr>
              <w:pStyle w:val="Default"/>
              <w:numPr>
                <w:ilvl w:val="0"/>
                <w:numId w:val="10"/>
              </w:numPr>
              <w:rPr>
                <w:sz w:val="22"/>
                <w:szCs w:val="22"/>
              </w:rPr>
            </w:pPr>
            <w:r w:rsidRPr="00F46088">
              <w:rPr>
                <w:sz w:val="22"/>
                <w:szCs w:val="22"/>
              </w:rPr>
              <w:t>Reconcile receipts issued with cash received</w:t>
            </w:r>
          </w:p>
          <w:p w:rsidR="001D40AF" w:rsidRPr="00F46088" w:rsidRDefault="001D40AF" w:rsidP="00DE63F7">
            <w:pPr>
              <w:pStyle w:val="Default"/>
              <w:numPr>
                <w:ilvl w:val="0"/>
                <w:numId w:val="10"/>
              </w:numPr>
              <w:rPr>
                <w:sz w:val="22"/>
                <w:szCs w:val="22"/>
              </w:rPr>
            </w:pPr>
            <w:r w:rsidRPr="00F46088">
              <w:rPr>
                <w:sz w:val="22"/>
                <w:szCs w:val="22"/>
              </w:rPr>
              <w:t>Where collections are solicited from a designated geographical area, require a report on the response of each collection unit (e.g. each household)</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Postal cash donations</w:t>
            </w:r>
          </w:p>
        </w:tc>
        <w:tc>
          <w:tcPr>
            <w:tcW w:w="8107" w:type="dxa"/>
          </w:tcPr>
          <w:p w:rsidR="001D40AF" w:rsidRPr="00F46088" w:rsidRDefault="001D40AF" w:rsidP="00DE63F7">
            <w:pPr>
              <w:pStyle w:val="ListParagraph"/>
              <w:numPr>
                <w:ilvl w:val="0"/>
                <w:numId w:val="11"/>
              </w:numPr>
              <w:autoSpaceDE w:val="0"/>
              <w:autoSpaceDN w:val="0"/>
              <w:adjustRightInd w:val="0"/>
              <w:rPr>
                <w:rFonts w:ascii="Times New Roman" w:hAnsi="Times New Roman" w:cs="Times New Roman"/>
                <w:color w:val="000000"/>
              </w:rPr>
            </w:pPr>
            <w:r w:rsidRPr="00F46088">
              <w:rPr>
                <w:rFonts w:ascii="Times New Roman" w:hAnsi="Times New Roman" w:cs="Times New Roman"/>
                <w:color w:val="000000"/>
              </w:rPr>
              <w:t xml:space="preserve">Segregate mail opening and bank deposit functions </w:t>
            </w:r>
          </w:p>
          <w:p w:rsidR="001D40AF" w:rsidRPr="00F46088" w:rsidRDefault="001D40AF" w:rsidP="00DE63F7">
            <w:pPr>
              <w:pStyle w:val="ListParagraph"/>
              <w:numPr>
                <w:ilvl w:val="0"/>
                <w:numId w:val="11"/>
              </w:numPr>
              <w:autoSpaceDE w:val="0"/>
              <w:autoSpaceDN w:val="0"/>
              <w:adjustRightInd w:val="0"/>
              <w:rPr>
                <w:rFonts w:ascii="Times New Roman" w:hAnsi="Times New Roman" w:cs="Times New Roman"/>
                <w:color w:val="000000"/>
              </w:rPr>
            </w:pPr>
            <w:r w:rsidRPr="00F46088">
              <w:rPr>
                <w:rFonts w:ascii="Times New Roman" w:hAnsi="Times New Roman" w:cs="Times New Roman"/>
                <w:color w:val="000000"/>
              </w:rPr>
              <w:t xml:space="preserve">Immediate recording of donations on opening of mail or receipt </w:t>
            </w:r>
          </w:p>
          <w:p w:rsidR="001D40AF" w:rsidRPr="00F46088" w:rsidRDefault="001D40AF" w:rsidP="00DE63F7">
            <w:pPr>
              <w:pStyle w:val="ListParagraph"/>
              <w:numPr>
                <w:ilvl w:val="0"/>
                <w:numId w:val="11"/>
              </w:numPr>
              <w:autoSpaceDE w:val="0"/>
              <w:autoSpaceDN w:val="0"/>
              <w:adjustRightInd w:val="0"/>
              <w:rPr>
                <w:rFonts w:ascii="Times New Roman" w:hAnsi="Times New Roman" w:cs="Times New Roman"/>
              </w:rPr>
            </w:pPr>
            <w:r w:rsidRPr="00F46088">
              <w:rPr>
                <w:rFonts w:ascii="Times New Roman" w:hAnsi="Times New Roman" w:cs="Times New Roman"/>
                <w:color w:val="000000"/>
              </w:rPr>
              <w:t xml:space="preserve">Agree bank paying-in slips with a record of receipts by an independent person </w:t>
            </w:r>
          </w:p>
        </w:tc>
      </w:tr>
      <w:tr w:rsidR="001D40AF" w:rsidRPr="00F46088" w:rsidTr="001D40AF">
        <w:tc>
          <w:tcPr>
            <w:tcW w:w="1499" w:type="dxa"/>
          </w:tcPr>
          <w:p w:rsidR="001D40AF" w:rsidRPr="00F24948" w:rsidRDefault="001D40AF" w:rsidP="0079155B">
            <w:pPr>
              <w:pStyle w:val="Default"/>
              <w:rPr>
                <w:color w:val="808080" w:themeColor="background1" w:themeShade="80"/>
                <w:sz w:val="22"/>
                <w:szCs w:val="22"/>
              </w:rPr>
            </w:pPr>
            <w:r w:rsidRPr="00F24948">
              <w:rPr>
                <w:color w:val="808080" w:themeColor="background1" w:themeShade="80"/>
                <w:sz w:val="22"/>
                <w:szCs w:val="22"/>
              </w:rPr>
              <w:t xml:space="preserve">Standing Order, Credit </w:t>
            </w:r>
            <w:r w:rsidR="0079155B" w:rsidRPr="00F24948">
              <w:rPr>
                <w:color w:val="808080" w:themeColor="background1" w:themeShade="80"/>
                <w:sz w:val="22"/>
                <w:szCs w:val="22"/>
              </w:rPr>
              <w:t>C</w:t>
            </w:r>
            <w:r w:rsidRPr="00F24948">
              <w:rPr>
                <w:color w:val="808080" w:themeColor="background1" w:themeShade="80"/>
                <w:sz w:val="22"/>
                <w:szCs w:val="22"/>
              </w:rPr>
              <w:t xml:space="preserve">ard, Direct </w:t>
            </w:r>
            <w:r w:rsidR="0079155B" w:rsidRPr="00F24948">
              <w:rPr>
                <w:color w:val="808080" w:themeColor="background1" w:themeShade="80"/>
                <w:sz w:val="22"/>
                <w:szCs w:val="22"/>
              </w:rPr>
              <w:t>D</w:t>
            </w:r>
            <w:r w:rsidRPr="00F24948">
              <w:rPr>
                <w:color w:val="808080" w:themeColor="background1" w:themeShade="80"/>
                <w:sz w:val="22"/>
                <w:szCs w:val="22"/>
              </w:rPr>
              <w:t xml:space="preserve">ebit and </w:t>
            </w:r>
            <w:r w:rsidR="0079155B" w:rsidRPr="00F24948">
              <w:rPr>
                <w:color w:val="808080" w:themeColor="background1" w:themeShade="80"/>
                <w:sz w:val="22"/>
                <w:szCs w:val="22"/>
              </w:rPr>
              <w:t>O</w:t>
            </w:r>
            <w:r w:rsidRPr="00F24948">
              <w:rPr>
                <w:color w:val="808080" w:themeColor="background1" w:themeShade="80"/>
                <w:sz w:val="22"/>
                <w:szCs w:val="22"/>
              </w:rPr>
              <w:t>nline EFT</w:t>
            </w:r>
          </w:p>
        </w:tc>
        <w:tc>
          <w:tcPr>
            <w:tcW w:w="8107" w:type="dxa"/>
          </w:tcPr>
          <w:p w:rsidR="001D40AF" w:rsidRPr="00F46088" w:rsidRDefault="001D40AF" w:rsidP="00DE63F7">
            <w:pPr>
              <w:pStyle w:val="Default"/>
              <w:numPr>
                <w:ilvl w:val="0"/>
                <w:numId w:val="12"/>
              </w:numPr>
              <w:rPr>
                <w:sz w:val="22"/>
                <w:szCs w:val="22"/>
              </w:rPr>
            </w:pPr>
            <w:r w:rsidRPr="00F46088">
              <w:rPr>
                <w:sz w:val="22"/>
                <w:szCs w:val="22"/>
              </w:rPr>
              <w:t xml:space="preserve">Monthly bank reconciliations that are reviewed and signed off </w:t>
            </w:r>
          </w:p>
          <w:p w:rsidR="001D40AF" w:rsidRPr="00F46088" w:rsidRDefault="001D40AF" w:rsidP="00DE63F7">
            <w:pPr>
              <w:pStyle w:val="Default"/>
              <w:numPr>
                <w:ilvl w:val="0"/>
                <w:numId w:val="12"/>
              </w:numPr>
              <w:rPr>
                <w:sz w:val="22"/>
                <w:szCs w:val="22"/>
              </w:rPr>
            </w:pPr>
            <w:r w:rsidRPr="00F46088">
              <w:rPr>
                <w:sz w:val="22"/>
                <w:szCs w:val="22"/>
              </w:rPr>
              <w:t xml:space="preserve">Issue receipts, where appropriate </w:t>
            </w:r>
          </w:p>
          <w:p w:rsidR="001D40AF" w:rsidRPr="00F46088" w:rsidRDefault="001D40AF" w:rsidP="00DE63F7">
            <w:pPr>
              <w:pStyle w:val="Default"/>
              <w:numPr>
                <w:ilvl w:val="0"/>
                <w:numId w:val="12"/>
              </w:numPr>
              <w:rPr>
                <w:sz w:val="22"/>
                <w:szCs w:val="22"/>
              </w:rPr>
            </w:pPr>
            <w:r w:rsidRPr="00F46088">
              <w:rPr>
                <w:sz w:val="22"/>
                <w:szCs w:val="22"/>
              </w:rPr>
              <w:t>Enquire about procedures over establishing new subscription accounts and reviewing controls on an ongoing basis</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Telemarketing campaigns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Bingos</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Raffles and lotteries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Social events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Large appeals</w:t>
            </w:r>
          </w:p>
        </w:tc>
        <w:tc>
          <w:tcPr>
            <w:tcW w:w="8107" w:type="dxa"/>
          </w:tcPr>
          <w:p w:rsidR="001D40AF" w:rsidRPr="00F46088" w:rsidRDefault="001D40AF" w:rsidP="00DE63F7">
            <w:pPr>
              <w:pStyle w:val="Default"/>
              <w:numPr>
                <w:ilvl w:val="0"/>
                <w:numId w:val="13"/>
              </w:numPr>
              <w:rPr>
                <w:sz w:val="22"/>
                <w:szCs w:val="22"/>
              </w:rPr>
            </w:pPr>
            <w:r w:rsidRPr="00F46088">
              <w:rPr>
                <w:sz w:val="22"/>
                <w:szCs w:val="22"/>
              </w:rPr>
              <w:t xml:space="preserve">Establish procedures to ensure compliance with any regulatory requirements that pertain specifically to the fundraising event </w:t>
            </w:r>
          </w:p>
          <w:p w:rsidR="001D40AF" w:rsidRPr="00F46088" w:rsidRDefault="001D40AF" w:rsidP="00DE63F7">
            <w:pPr>
              <w:pStyle w:val="Default"/>
              <w:numPr>
                <w:ilvl w:val="0"/>
                <w:numId w:val="13"/>
              </w:numPr>
              <w:rPr>
                <w:sz w:val="22"/>
                <w:szCs w:val="22"/>
              </w:rPr>
            </w:pPr>
            <w:r w:rsidRPr="00F46088">
              <w:rPr>
                <w:sz w:val="22"/>
                <w:szCs w:val="22"/>
              </w:rPr>
              <w:t>Ensure persons responsible for handling collections from ticket sales account for each pre numbered ticket sold, and provide a reconciliation to tickets issued</w:t>
            </w:r>
          </w:p>
          <w:p w:rsidR="001D40AF" w:rsidRPr="00F46088" w:rsidRDefault="001D40AF" w:rsidP="00DE63F7">
            <w:pPr>
              <w:pStyle w:val="Default"/>
              <w:numPr>
                <w:ilvl w:val="0"/>
                <w:numId w:val="13"/>
              </w:numPr>
              <w:rPr>
                <w:sz w:val="22"/>
                <w:szCs w:val="22"/>
              </w:rPr>
            </w:pPr>
            <w:r w:rsidRPr="00F46088">
              <w:rPr>
                <w:sz w:val="22"/>
                <w:szCs w:val="22"/>
              </w:rPr>
              <w:t>Independent person to reconcile tickets issued against tickets sold or returned unsold, with the person being segregated from the person responsible for counting and depositing monies received</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Donated materials</w:t>
            </w:r>
          </w:p>
        </w:tc>
        <w:tc>
          <w:tcPr>
            <w:tcW w:w="8107" w:type="dxa"/>
          </w:tcPr>
          <w:p w:rsidR="001D40AF" w:rsidRPr="00F46088" w:rsidRDefault="001D40AF" w:rsidP="00DE63F7">
            <w:pPr>
              <w:pStyle w:val="Default"/>
              <w:numPr>
                <w:ilvl w:val="0"/>
                <w:numId w:val="15"/>
              </w:numPr>
              <w:rPr>
                <w:sz w:val="22"/>
                <w:szCs w:val="22"/>
              </w:rPr>
            </w:pPr>
            <w:r w:rsidRPr="00F46088">
              <w:rPr>
                <w:sz w:val="22"/>
                <w:szCs w:val="22"/>
              </w:rPr>
              <w:t xml:space="preserve">Develop policies to ensure immediate recording of donated materials, with periodic review of policies by the appropriate level of management </w:t>
            </w:r>
          </w:p>
          <w:p w:rsidR="001D40AF" w:rsidRPr="00F46088" w:rsidRDefault="001D40AF" w:rsidP="00DE63F7">
            <w:pPr>
              <w:pStyle w:val="Default"/>
              <w:numPr>
                <w:ilvl w:val="0"/>
                <w:numId w:val="15"/>
              </w:numPr>
              <w:rPr>
                <w:sz w:val="22"/>
                <w:szCs w:val="22"/>
              </w:rPr>
            </w:pPr>
            <w:r w:rsidRPr="00F46088">
              <w:rPr>
                <w:sz w:val="22"/>
                <w:szCs w:val="22"/>
              </w:rPr>
              <w:t>Segregate incompatible tasks to prevent collusion or theft</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bCs/>
                <w:color w:val="808080" w:themeColor="background1" w:themeShade="80"/>
                <w:sz w:val="22"/>
                <w:szCs w:val="22"/>
              </w:rPr>
              <w:t>Bequests and Legacies</w:t>
            </w:r>
          </w:p>
        </w:tc>
        <w:tc>
          <w:tcPr>
            <w:tcW w:w="8107" w:type="dxa"/>
          </w:tcPr>
          <w:p w:rsidR="001D40AF" w:rsidRPr="00F46088" w:rsidRDefault="001D40AF" w:rsidP="00DE63F7">
            <w:pPr>
              <w:pStyle w:val="Default"/>
              <w:numPr>
                <w:ilvl w:val="0"/>
                <w:numId w:val="16"/>
              </w:numPr>
              <w:rPr>
                <w:sz w:val="22"/>
                <w:szCs w:val="22"/>
              </w:rPr>
            </w:pPr>
            <w:r w:rsidRPr="00F46088">
              <w:rPr>
                <w:sz w:val="22"/>
                <w:szCs w:val="22"/>
              </w:rPr>
              <w:t>Maintain comprehensive correspondence files for each bequest or legacy received or receivable of funds</w:t>
            </w:r>
          </w:p>
          <w:p w:rsidR="001D40AF" w:rsidRPr="00F46088" w:rsidRDefault="001D40AF" w:rsidP="00DE63F7">
            <w:pPr>
              <w:pStyle w:val="Default"/>
              <w:numPr>
                <w:ilvl w:val="0"/>
                <w:numId w:val="16"/>
              </w:numPr>
              <w:rPr>
                <w:sz w:val="22"/>
                <w:szCs w:val="22"/>
              </w:rPr>
            </w:pPr>
            <w:r w:rsidRPr="00F46088">
              <w:rPr>
                <w:sz w:val="22"/>
                <w:szCs w:val="22"/>
              </w:rPr>
              <w:t>Implement systematic procedures to detect if any restrictions are imposed on the expenditure of funds, and ensure details about restrictions are communicated to those responsible for expenditure</w:t>
            </w:r>
          </w:p>
          <w:p w:rsidR="001D40AF" w:rsidRPr="00F46088" w:rsidRDefault="001D40AF" w:rsidP="00DE63F7">
            <w:pPr>
              <w:pStyle w:val="Default"/>
              <w:numPr>
                <w:ilvl w:val="0"/>
                <w:numId w:val="16"/>
              </w:numPr>
              <w:rPr>
                <w:sz w:val="22"/>
                <w:szCs w:val="22"/>
              </w:rPr>
            </w:pPr>
            <w:r w:rsidRPr="00F46088">
              <w:rPr>
                <w:sz w:val="22"/>
                <w:szCs w:val="22"/>
              </w:rPr>
              <w:t>Separately record legacies with restrictions imposed and deposit in trust or separate bank account</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Pledges</w:t>
            </w:r>
          </w:p>
        </w:tc>
        <w:tc>
          <w:tcPr>
            <w:tcW w:w="8107" w:type="dxa"/>
          </w:tcPr>
          <w:p w:rsidR="001D40AF" w:rsidRPr="00F46088" w:rsidRDefault="001D40AF" w:rsidP="00DE63F7">
            <w:pPr>
              <w:pStyle w:val="Default"/>
              <w:numPr>
                <w:ilvl w:val="0"/>
                <w:numId w:val="17"/>
              </w:numPr>
              <w:rPr>
                <w:sz w:val="22"/>
                <w:szCs w:val="22"/>
              </w:rPr>
            </w:pPr>
            <w:r w:rsidRPr="00F46088">
              <w:rPr>
                <w:sz w:val="22"/>
                <w:szCs w:val="22"/>
              </w:rPr>
              <w:t xml:space="preserve">Establish a method of recording and maintaining control over pledges when obtained, including procedures to ensure detection of, and compliance with, restrictions or conditions (if any) </w:t>
            </w:r>
          </w:p>
          <w:p w:rsidR="001D40AF" w:rsidRPr="00F46088" w:rsidRDefault="001D40AF" w:rsidP="00DE63F7">
            <w:pPr>
              <w:pStyle w:val="Default"/>
              <w:numPr>
                <w:ilvl w:val="0"/>
                <w:numId w:val="17"/>
              </w:numPr>
              <w:rPr>
                <w:sz w:val="22"/>
                <w:szCs w:val="22"/>
              </w:rPr>
            </w:pPr>
            <w:r w:rsidRPr="00F46088">
              <w:rPr>
                <w:sz w:val="22"/>
                <w:szCs w:val="22"/>
              </w:rPr>
              <w:t xml:space="preserve">Establish a collections policy for pledges, for the purposes of providing for uncollectible pledges </w:t>
            </w:r>
          </w:p>
        </w:tc>
      </w:tr>
      <w:tr w:rsidR="001D40AF" w:rsidRPr="00F46088" w:rsidTr="001D40AF">
        <w:tc>
          <w:tcPr>
            <w:tcW w:w="1499" w:type="dxa"/>
          </w:tcPr>
          <w:p w:rsidR="001D40AF" w:rsidRPr="00F24948" w:rsidRDefault="001D40AF" w:rsidP="00DE63F7">
            <w:pPr>
              <w:pStyle w:val="Default"/>
              <w:rPr>
                <w:color w:val="808080" w:themeColor="background1" w:themeShade="80"/>
                <w:sz w:val="22"/>
                <w:szCs w:val="22"/>
              </w:rPr>
            </w:pPr>
            <w:r w:rsidRPr="00F24948">
              <w:rPr>
                <w:bCs/>
                <w:color w:val="808080" w:themeColor="background1" w:themeShade="80"/>
                <w:sz w:val="22"/>
                <w:szCs w:val="22"/>
              </w:rPr>
              <w:t>Contributions from grants or restricted income</w:t>
            </w:r>
          </w:p>
        </w:tc>
        <w:tc>
          <w:tcPr>
            <w:tcW w:w="8107" w:type="dxa"/>
          </w:tcPr>
          <w:p w:rsidR="001D40AF" w:rsidRPr="00F46088" w:rsidRDefault="001D40AF" w:rsidP="00DE63F7">
            <w:pPr>
              <w:pStyle w:val="Default"/>
              <w:numPr>
                <w:ilvl w:val="0"/>
                <w:numId w:val="20"/>
              </w:numPr>
              <w:rPr>
                <w:sz w:val="22"/>
                <w:szCs w:val="22"/>
              </w:rPr>
            </w:pPr>
            <w:r w:rsidRPr="00F46088">
              <w:rPr>
                <w:sz w:val="22"/>
                <w:szCs w:val="22"/>
              </w:rPr>
              <w:t>Maintain comprehensive records of applications made and implement follow-up procedures for grant applications not discharged</w:t>
            </w:r>
          </w:p>
        </w:tc>
      </w:tr>
    </w:tbl>
    <w:p w:rsidR="001D40AF" w:rsidRPr="001D40AF" w:rsidRDefault="001D40AF" w:rsidP="001D40AF">
      <w:pPr>
        <w:pStyle w:val="Default"/>
        <w:jc w:val="center"/>
        <w:rPr>
          <w:b/>
          <w:color w:val="990033"/>
          <w:sz w:val="28"/>
          <w:szCs w:val="28"/>
        </w:rPr>
      </w:pPr>
      <w:r w:rsidRPr="001D40AF">
        <w:rPr>
          <w:b/>
          <w:color w:val="990033"/>
          <w:sz w:val="28"/>
          <w:szCs w:val="28"/>
        </w:rPr>
        <w:lastRenderedPageBreak/>
        <w:t>Appendix 2: Indicative Audit Procedures</w:t>
      </w:r>
    </w:p>
    <w:p w:rsidR="001D40AF" w:rsidRDefault="001D40AF" w:rsidP="001D40AF">
      <w:pPr>
        <w:pStyle w:val="Default"/>
        <w:rPr>
          <w:sz w:val="22"/>
          <w:szCs w:val="22"/>
        </w:rPr>
      </w:pPr>
    </w:p>
    <w:tbl>
      <w:tblPr>
        <w:tblStyle w:val="TableGrid"/>
        <w:tblW w:w="9606" w:type="dxa"/>
        <w:tblLook w:val="04A0"/>
      </w:tblPr>
      <w:tblGrid>
        <w:gridCol w:w="1499"/>
        <w:gridCol w:w="8107"/>
      </w:tblGrid>
      <w:tr w:rsidR="001D40AF" w:rsidRPr="00F46088" w:rsidTr="00DE63F7">
        <w:tc>
          <w:tcPr>
            <w:tcW w:w="1499" w:type="dxa"/>
          </w:tcPr>
          <w:p w:rsidR="001D40AF" w:rsidRPr="00B25D8D" w:rsidRDefault="001D40AF" w:rsidP="00DE63F7">
            <w:pPr>
              <w:pStyle w:val="Default"/>
              <w:rPr>
                <w:b/>
                <w:color w:val="990033"/>
                <w:sz w:val="22"/>
                <w:szCs w:val="22"/>
              </w:rPr>
            </w:pPr>
            <w:r w:rsidRPr="00B25D8D">
              <w:rPr>
                <w:b/>
                <w:color w:val="990033"/>
                <w:sz w:val="22"/>
                <w:szCs w:val="22"/>
              </w:rPr>
              <w:t xml:space="preserve">Fundraising Source </w:t>
            </w:r>
          </w:p>
        </w:tc>
        <w:tc>
          <w:tcPr>
            <w:tcW w:w="8107" w:type="dxa"/>
          </w:tcPr>
          <w:p w:rsidR="001D40AF" w:rsidRPr="00B25D8D" w:rsidRDefault="001D40AF" w:rsidP="00DE63F7">
            <w:pPr>
              <w:pStyle w:val="Default"/>
              <w:rPr>
                <w:b/>
                <w:color w:val="990033"/>
                <w:sz w:val="22"/>
                <w:szCs w:val="22"/>
              </w:rPr>
            </w:pPr>
            <w:r w:rsidRPr="00B25D8D">
              <w:rPr>
                <w:b/>
                <w:color w:val="990033"/>
                <w:sz w:val="22"/>
                <w:szCs w:val="22"/>
              </w:rPr>
              <w:t>Indicative Audit Procedures</w:t>
            </w:r>
          </w:p>
        </w:tc>
      </w:tr>
      <w:tr w:rsidR="001D40AF" w:rsidRPr="00F46088" w:rsidTr="00DE63F7">
        <w:tc>
          <w:tcPr>
            <w:tcW w:w="1499" w:type="dxa"/>
          </w:tcPr>
          <w:p w:rsidR="001D40AF" w:rsidRPr="00F24948" w:rsidRDefault="001D40AF" w:rsidP="00F24948">
            <w:pPr>
              <w:pStyle w:val="Default"/>
              <w:rPr>
                <w:color w:val="808080" w:themeColor="background1" w:themeShade="80"/>
                <w:sz w:val="22"/>
                <w:szCs w:val="22"/>
              </w:rPr>
            </w:pPr>
            <w:r w:rsidRPr="00F24948">
              <w:rPr>
                <w:bCs/>
                <w:color w:val="808080" w:themeColor="background1" w:themeShade="80"/>
                <w:sz w:val="22"/>
                <w:szCs w:val="22"/>
              </w:rPr>
              <w:t>Cash donations –</w:t>
            </w:r>
            <w:r w:rsidR="00F24948" w:rsidRPr="00F24948">
              <w:rPr>
                <w:bCs/>
                <w:color w:val="808080" w:themeColor="background1" w:themeShade="80"/>
                <w:sz w:val="22"/>
                <w:szCs w:val="22"/>
              </w:rPr>
              <w:t xml:space="preserve"> </w:t>
            </w:r>
            <w:r w:rsidRPr="00F24948">
              <w:rPr>
                <w:color w:val="808080" w:themeColor="background1" w:themeShade="80"/>
                <w:sz w:val="22"/>
                <w:szCs w:val="22"/>
              </w:rPr>
              <w:t>Direct cash donations (e.g.</w:t>
            </w:r>
            <w:r w:rsidR="0079155B" w:rsidRPr="00F24948">
              <w:rPr>
                <w:color w:val="808080" w:themeColor="background1" w:themeShade="80"/>
                <w:sz w:val="22"/>
                <w:szCs w:val="22"/>
              </w:rPr>
              <w:t>,</w:t>
            </w:r>
            <w:r w:rsidRPr="00F24948">
              <w:rPr>
                <w:color w:val="808080" w:themeColor="background1" w:themeShade="80"/>
                <w:sz w:val="22"/>
                <w:szCs w:val="22"/>
              </w:rPr>
              <w:t xml:space="preserve"> door-to-door</w:t>
            </w:r>
            <w:r w:rsidR="0079155B" w:rsidRPr="00F24948">
              <w:rPr>
                <w:color w:val="808080" w:themeColor="background1" w:themeShade="80"/>
                <w:sz w:val="22"/>
                <w:szCs w:val="22"/>
              </w:rPr>
              <w:t xml:space="preserve"> </w:t>
            </w:r>
            <w:r w:rsidRPr="00F24948">
              <w:rPr>
                <w:color w:val="808080" w:themeColor="background1" w:themeShade="80"/>
                <w:sz w:val="22"/>
                <w:szCs w:val="22"/>
              </w:rPr>
              <w:t>collection, or small special events</w:t>
            </w:r>
            <w:r w:rsidR="0079155B" w:rsidRPr="00F24948">
              <w:rPr>
                <w:color w:val="808080" w:themeColor="background1" w:themeShade="80"/>
                <w:sz w:val="22"/>
                <w:szCs w:val="22"/>
              </w:rPr>
              <w:t>)</w:t>
            </w:r>
            <w:r w:rsidRPr="00F24948">
              <w:rPr>
                <w:bCs/>
                <w:color w:val="808080" w:themeColor="background1" w:themeShade="80"/>
                <w:sz w:val="22"/>
                <w:szCs w:val="22"/>
              </w:rPr>
              <w:t xml:space="preserve"> </w:t>
            </w:r>
          </w:p>
        </w:tc>
        <w:tc>
          <w:tcPr>
            <w:tcW w:w="8107" w:type="dxa"/>
          </w:tcPr>
          <w:p w:rsidR="001D40AF" w:rsidRPr="00F46088" w:rsidRDefault="001D40AF" w:rsidP="00DE63F7">
            <w:pPr>
              <w:pStyle w:val="Default"/>
              <w:numPr>
                <w:ilvl w:val="0"/>
                <w:numId w:val="22"/>
              </w:numPr>
              <w:rPr>
                <w:sz w:val="22"/>
                <w:szCs w:val="22"/>
              </w:rPr>
            </w:pPr>
            <w:r w:rsidRPr="00F46088">
              <w:rPr>
                <w:sz w:val="22"/>
                <w:szCs w:val="22"/>
              </w:rPr>
              <w:t xml:space="preserve">Review and test procedures implemented to collect cash donations and their systems of control </w:t>
            </w:r>
          </w:p>
          <w:p w:rsidR="001D40AF" w:rsidRPr="00F46088" w:rsidRDefault="001D40AF" w:rsidP="00DE63F7">
            <w:pPr>
              <w:pStyle w:val="Default"/>
              <w:numPr>
                <w:ilvl w:val="0"/>
                <w:numId w:val="22"/>
              </w:numPr>
              <w:rPr>
                <w:sz w:val="22"/>
                <w:szCs w:val="22"/>
              </w:rPr>
            </w:pPr>
            <w:r w:rsidRPr="00F46088">
              <w:rPr>
                <w:sz w:val="22"/>
                <w:szCs w:val="22"/>
              </w:rPr>
              <w:t xml:space="preserve">Review and test policies and procedures followed by staff or volunteers when collecting cash donations </w:t>
            </w:r>
          </w:p>
          <w:p w:rsidR="001D40AF" w:rsidRPr="00F46088" w:rsidRDefault="001D40AF" w:rsidP="00DE63F7">
            <w:pPr>
              <w:pStyle w:val="Default"/>
              <w:numPr>
                <w:ilvl w:val="0"/>
                <w:numId w:val="22"/>
              </w:numPr>
              <w:rPr>
                <w:sz w:val="22"/>
                <w:szCs w:val="22"/>
              </w:rPr>
            </w:pPr>
            <w:r w:rsidRPr="00F46088">
              <w:rPr>
                <w:sz w:val="22"/>
                <w:szCs w:val="22"/>
              </w:rPr>
              <w:t>Reconcile total of tax receipts issued with cash recorded and banked</w:t>
            </w:r>
          </w:p>
          <w:p w:rsidR="001D40AF" w:rsidRPr="00F46088" w:rsidRDefault="001D40AF" w:rsidP="00DE63F7">
            <w:pPr>
              <w:pStyle w:val="Default"/>
              <w:numPr>
                <w:ilvl w:val="0"/>
                <w:numId w:val="22"/>
              </w:numPr>
              <w:rPr>
                <w:sz w:val="22"/>
                <w:szCs w:val="22"/>
              </w:rPr>
            </w:pPr>
            <w:r w:rsidRPr="00B25D8D">
              <w:rPr>
                <w:sz w:val="22"/>
                <w:szCs w:val="22"/>
              </w:rPr>
              <w:t>Design analytical procedures for each different source or geographical area from which cash donations are obtained, e.g. compare cash donations from a particular activity or geographical area with previous years or budgeted cash donations</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Postal cash donations</w:t>
            </w:r>
          </w:p>
        </w:tc>
        <w:tc>
          <w:tcPr>
            <w:tcW w:w="8107" w:type="dxa"/>
          </w:tcPr>
          <w:p w:rsidR="001D40AF" w:rsidRPr="00F46088" w:rsidRDefault="001D40AF" w:rsidP="00DE63F7">
            <w:pPr>
              <w:pStyle w:val="Default"/>
              <w:numPr>
                <w:ilvl w:val="0"/>
                <w:numId w:val="23"/>
              </w:numPr>
              <w:rPr>
                <w:sz w:val="22"/>
                <w:szCs w:val="22"/>
              </w:rPr>
            </w:pPr>
            <w:r w:rsidRPr="00F46088">
              <w:rPr>
                <w:sz w:val="22"/>
                <w:szCs w:val="22"/>
              </w:rPr>
              <w:t xml:space="preserve">Observe control procedures </w:t>
            </w:r>
          </w:p>
          <w:p w:rsidR="001D40AF" w:rsidRPr="00F46088" w:rsidRDefault="001D40AF" w:rsidP="00DE63F7">
            <w:pPr>
              <w:pStyle w:val="Default"/>
              <w:numPr>
                <w:ilvl w:val="0"/>
                <w:numId w:val="23"/>
              </w:numPr>
              <w:rPr>
                <w:sz w:val="22"/>
                <w:szCs w:val="22"/>
              </w:rPr>
            </w:pPr>
            <w:r w:rsidRPr="00F46088">
              <w:rPr>
                <w:sz w:val="22"/>
                <w:szCs w:val="22"/>
              </w:rPr>
              <w:t xml:space="preserve">Analyse donations received to donations requested, and compare with previous years or industry statistics (if available) </w:t>
            </w:r>
          </w:p>
        </w:tc>
      </w:tr>
      <w:tr w:rsidR="001D40AF" w:rsidRPr="00F46088" w:rsidTr="00DE63F7">
        <w:tc>
          <w:tcPr>
            <w:tcW w:w="1499" w:type="dxa"/>
          </w:tcPr>
          <w:p w:rsidR="001D40AF" w:rsidRPr="00F24948" w:rsidRDefault="001D40AF" w:rsidP="0079155B">
            <w:pPr>
              <w:pStyle w:val="Default"/>
              <w:rPr>
                <w:color w:val="808080" w:themeColor="background1" w:themeShade="80"/>
                <w:sz w:val="22"/>
                <w:szCs w:val="22"/>
              </w:rPr>
            </w:pPr>
            <w:r w:rsidRPr="00F24948">
              <w:rPr>
                <w:color w:val="808080" w:themeColor="background1" w:themeShade="80"/>
                <w:sz w:val="22"/>
                <w:szCs w:val="22"/>
              </w:rPr>
              <w:t xml:space="preserve">Standing Order, Credit </w:t>
            </w:r>
            <w:r w:rsidR="0079155B" w:rsidRPr="00F24948">
              <w:rPr>
                <w:color w:val="808080" w:themeColor="background1" w:themeShade="80"/>
                <w:sz w:val="22"/>
                <w:szCs w:val="22"/>
              </w:rPr>
              <w:t>C</w:t>
            </w:r>
            <w:r w:rsidRPr="00F24948">
              <w:rPr>
                <w:color w:val="808080" w:themeColor="background1" w:themeShade="80"/>
                <w:sz w:val="22"/>
                <w:szCs w:val="22"/>
              </w:rPr>
              <w:t xml:space="preserve">ard, Direct </w:t>
            </w:r>
            <w:r w:rsidR="0079155B" w:rsidRPr="00F24948">
              <w:rPr>
                <w:color w:val="808080" w:themeColor="background1" w:themeShade="80"/>
                <w:sz w:val="22"/>
                <w:szCs w:val="22"/>
              </w:rPr>
              <w:t>D</w:t>
            </w:r>
            <w:r w:rsidRPr="00F24948">
              <w:rPr>
                <w:color w:val="808080" w:themeColor="background1" w:themeShade="80"/>
                <w:sz w:val="22"/>
                <w:szCs w:val="22"/>
              </w:rPr>
              <w:t xml:space="preserve">ebit and </w:t>
            </w:r>
            <w:r w:rsidR="0079155B" w:rsidRPr="00F24948">
              <w:rPr>
                <w:color w:val="808080" w:themeColor="background1" w:themeShade="80"/>
                <w:sz w:val="22"/>
                <w:szCs w:val="22"/>
              </w:rPr>
              <w:t>O</w:t>
            </w:r>
            <w:r w:rsidRPr="00F24948">
              <w:rPr>
                <w:color w:val="808080" w:themeColor="background1" w:themeShade="80"/>
                <w:sz w:val="22"/>
                <w:szCs w:val="22"/>
              </w:rPr>
              <w:t>nline EFT</w:t>
            </w:r>
          </w:p>
        </w:tc>
        <w:tc>
          <w:tcPr>
            <w:tcW w:w="8107" w:type="dxa"/>
          </w:tcPr>
          <w:p w:rsidR="001D40AF" w:rsidRPr="00F46088" w:rsidRDefault="001D40AF" w:rsidP="00DE63F7">
            <w:pPr>
              <w:pStyle w:val="Default"/>
              <w:numPr>
                <w:ilvl w:val="0"/>
                <w:numId w:val="24"/>
              </w:numPr>
              <w:rPr>
                <w:sz w:val="22"/>
                <w:szCs w:val="22"/>
              </w:rPr>
            </w:pPr>
            <w:r w:rsidRPr="00F46088">
              <w:rPr>
                <w:sz w:val="22"/>
                <w:szCs w:val="22"/>
              </w:rPr>
              <w:t xml:space="preserve">Review of monthly bank reconciliations with specific consideration for any unusual reconciling items </w:t>
            </w:r>
          </w:p>
          <w:p w:rsidR="001D40AF" w:rsidRPr="00F46088" w:rsidRDefault="001D40AF" w:rsidP="00DE63F7">
            <w:pPr>
              <w:pStyle w:val="Default"/>
              <w:numPr>
                <w:ilvl w:val="0"/>
                <w:numId w:val="24"/>
              </w:numPr>
              <w:rPr>
                <w:sz w:val="22"/>
                <w:szCs w:val="22"/>
              </w:rPr>
            </w:pPr>
            <w:r w:rsidRPr="00F46088">
              <w:rPr>
                <w:sz w:val="22"/>
                <w:szCs w:val="22"/>
              </w:rPr>
              <w:t>Estimate revenue based on # of subscribers x average donation to determine reasonableness of revenue recorded</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Telemarketing campaigns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Bingos</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Raffles and lotteries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 xml:space="preserve">Social events </w:t>
            </w:r>
          </w:p>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Large appeals</w:t>
            </w:r>
          </w:p>
        </w:tc>
        <w:tc>
          <w:tcPr>
            <w:tcW w:w="8107" w:type="dxa"/>
          </w:tcPr>
          <w:p w:rsidR="001D40AF" w:rsidRPr="00F46088" w:rsidRDefault="001D40AF" w:rsidP="00DE63F7">
            <w:pPr>
              <w:pStyle w:val="Default"/>
              <w:numPr>
                <w:ilvl w:val="0"/>
                <w:numId w:val="25"/>
              </w:numPr>
              <w:rPr>
                <w:sz w:val="22"/>
                <w:szCs w:val="22"/>
              </w:rPr>
            </w:pPr>
            <w:r w:rsidRPr="00F46088">
              <w:rPr>
                <w:sz w:val="22"/>
                <w:szCs w:val="22"/>
              </w:rPr>
              <w:t xml:space="preserve">Review compliance with any regulations that are applicable to the fundraising event </w:t>
            </w:r>
          </w:p>
          <w:p w:rsidR="001D40AF" w:rsidRPr="00F46088" w:rsidRDefault="001D40AF" w:rsidP="00DE63F7">
            <w:pPr>
              <w:pStyle w:val="Default"/>
              <w:numPr>
                <w:ilvl w:val="0"/>
                <w:numId w:val="25"/>
              </w:numPr>
              <w:rPr>
                <w:sz w:val="22"/>
                <w:szCs w:val="22"/>
              </w:rPr>
            </w:pPr>
            <w:r w:rsidRPr="00F46088">
              <w:rPr>
                <w:sz w:val="22"/>
                <w:szCs w:val="22"/>
              </w:rPr>
              <w:t xml:space="preserve">Compare cash donations received to past results for similar special events and statistics for response rates for NFPs in general </w:t>
            </w:r>
          </w:p>
          <w:p w:rsidR="001D40AF" w:rsidRPr="00F46088" w:rsidRDefault="001D40AF" w:rsidP="00DE63F7">
            <w:pPr>
              <w:pStyle w:val="Default"/>
              <w:numPr>
                <w:ilvl w:val="0"/>
                <w:numId w:val="25"/>
              </w:numPr>
              <w:rPr>
                <w:sz w:val="22"/>
                <w:szCs w:val="22"/>
              </w:rPr>
            </w:pPr>
            <w:r>
              <w:rPr>
                <w:sz w:val="22"/>
                <w:szCs w:val="22"/>
              </w:rPr>
              <w:t>A</w:t>
            </w:r>
            <w:r w:rsidRPr="00F46088">
              <w:rPr>
                <w:sz w:val="22"/>
                <w:szCs w:val="22"/>
              </w:rPr>
              <w:t xml:space="preserve">ssess the reasonableness of related expenditure, compare amounts recorded with past revenue and expenditure for the event </w:t>
            </w:r>
          </w:p>
          <w:p w:rsidR="001D40AF" w:rsidRPr="00B25D8D" w:rsidRDefault="001D40AF" w:rsidP="00DE63F7">
            <w:pPr>
              <w:pStyle w:val="ListParagraph"/>
              <w:numPr>
                <w:ilvl w:val="0"/>
                <w:numId w:val="25"/>
              </w:numPr>
              <w:autoSpaceDE w:val="0"/>
              <w:autoSpaceDN w:val="0"/>
              <w:adjustRightInd w:val="0"/>
              <w:rPr>
                <w:rFonts w:ascii="Times New Roman" w:hAnsi="Times New Roman" w:cs="Times New Roman"/>
              </w:rPr>
            </w:pPr>
            <w:r w:rsidRPr="00B25D8D">
              <w:rPr>
                <w:rFonts w:ascii="Times New Roman" w:hAnsi="Times New Roman" w:cs="Times New Roman"/>
                <w:color w:val="000000"/>
              </w:rPr>
              <w:t>For each material fundraising event, review procedures adopted by the charitable entity for capturing and recording fundraising revenue which it controls</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Donated materials</w:t>
            </w:r>
          </w:p>
        </w:tc>
        <w:tc>
          <w:tcPr>
            <w:tcW w:w="8107" w:type="dxa"/>
          </w:tcPr>
          <w:p w:rsidR="001D40AF" w:rsidRPr="00F46088" w:rsidRDefault="001D40AF" w:rsidP="00DE63F7">
            <w:pPr>
              <w:pStyle w:val="Default"/>
              <w:numPr>
                <w:ilvl w:val="0"/>
                <w:numId w:val="26"/>
              </w:numPr>
              <w:rPr>
                <w:sz w:val="22"/>
                <w:szCs w:val="22"/>
              </w:rPr>
            </w:pPr>
            <w:r w:rsidRPr="00F46088">
              <w:rPr>
                <w:sz w:val="22"/>
                <w:szCs w:val="22"/>
              </w:rPr>
              <w:t xml:space="preserve">Enquire about the accounting policies adopted for recording donated materials, test the extent and effectiveness of the accounting procedures and internal controls </w:t>
            </w:r>
          </w:p>
          <w:p w:rsidR="001D40AF" w:rsidRPr="00F46088" w:rsidRDefault="001D40AF" w:rsidP="00DE63F7">
            <w:pPr>
              <w:pStyle w:val="Default"/>
              <w:numPr>
                <w:ilvl w:val="0"/>
                <w:numId w:val="26"/>
              </w:numPr>
              <w:rPr>
                <w:sz w:val="22"/>
                <w:szCs w:val="22"/>
              </w:rPr>
            </w:pPr>
            <w:r w:rsidRPr="00F46088">
              <w:rPr>
                <w:sz w:val="22"/>
                <w:szCs w:val="22"/>
              </w:rPr>
              <w:t xml:space="preserve">Compare data collected on current year donated materials with budgeted material contributions or previous years’ receipts </w:t>
            </w:r>
          </w:p>
          <w:p w:rsidR="001D40AF" w:rsidRPr="00F46088" w:rsidRDefault="001D40AF" w:rsidP="00DE63F7">
            <w:pPr>
              <w:pStyle w:val="Default"/>
              <w:numPr>
                <w:ilvl w:val="0"/>
                <w:numId w:val="26"/>
              </w:numPr>
              <w:rPr>
                <w:sz w:val="22"/>
                <w:szCs w:val="22"/>
              </w:rPr>
            </w:pPr>
            <w:r w:rsidRPr="00F46088">
              <w:rPr>
                <w:sz w:val="22"/>
                <w:szCs w:val="22"/>
              </w:rPr>
              <w:t>Consider confirming contributions from significant donors</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bCs/>
                <w:color w:val="808080" w:themeColor="background1" w:themeShade="80"/>
                <w:sz w:val="22"/>
                <w:szCs w:val="22"/>
              </w:rPr>
              <w:t>Bequests and Legacies</w:t>
            </w:r>
          </w:p>
        </w:tc>
        <w:tc>
          <w:tcPr>
            <w:tcW w:w="8107" w:type="dxa"/>
          </w:tcPr>
          <w:p w:rsidR="001D40AF" w:rsidRPr="00F46088" w:rsidRDefault="001D40AF" w:rsidP="00DE63F7">
            <w:pPr>
              <w:pStyle w:val="Default"/>
              <w:numPr>
                <w:ilvl w:val="0"/>
                <w:numId w:val="27"/>
              </w:numPr>
              <w:rPr>
                <w:sz w:val="22"/>
                <w:szCs w:val="22"/>
              </w:rPr>
            </w:pPr>
            <w:r w:rsidRPr="00F46088">
              <w:rPr>
                <w:sz w:val="22"/>
                <w:szCs w:val="22"/>
              </w:rPr>
              <w:t xml:space="preserve">Review correspondence relating to bequests and legacies, noting the imposition of any restrictions and the consequences of non-compliance therewith </w:t>
            </w:r>
          </w:p>
          <w:p w:rsidR="001D40AF" w:rsidRPr="00F46088" w:rsidRDefault="001D40AF" w:rsidP="00DE63F7">
            <w:pPr>
              <w:pStyle w:val="Default"/>
              <w:numPr>
                <w:ilvl w:val="0"/>
                <w:numId w:val="27"/>
              </w:numPr>
              <w:rPr>
                <w:sz w:val="22"/>
                <w:szCs w:val="22"/>
              </w:rPr>
            </w:pPr>
            <w:r w:rsidRPr="00F46088">
              <w:rPr>
                <w:sz w:val="22"/>
                <w:szCs w:val="22"/>
              </w:rPr>
              <w:t xml:space="preserve">Test controls over expenditure and approval </w:t>
            </w:r>
          </w:p>
          <w:p w:rsidR="001D40AF" w:rsidRPr="00F46088" w:rsidRDefault="001D40AF" w:rsidP="00DE63F7">
            <w:pPr>
              <w:pStyle w:val="Default"/>
              <w:numPr>
                <w:ilvl w:val="0"/>
                <w:numId w:val="27"/>
              </w:numPr>
              <w:rPr>
                <w:sz w:val="22"/>
                <w:szCs w:val="22"/>
              </w:rPr>
            </w:pPr>
            <w:r w:rsidRPr="00F46088">
              <w:rPr>
                <w:sz w:val="22"/>
                <w:szCs w:val="22"/>
              </w:rPr>
              <w:t xml:space="preserve">Review procedures for recording bequests and legacies </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color w:val="808080" w:themeColor="background1" w:themeShade="80"/>
                <w:sz w:val="22"/>
                <w:szCs w:val="22"/>
              </w:rPr>
              <w:t>Pledges</w:t>
            </w:r>
          </w:p>
        </w:tc>
        <w:tc>
          <w:tcPr>
            <w:tcW w:w="8107" w:type="dxa"/>
          </w:tcPr>
          <w:p w:rsidR="001D40AF" w:rsidRPr="00F46088" w:rsidRDefault="001D40AF" w:rsidP="00DE63F7">
            <w:pPr>
              <w:pStyle w:val="Default"/>
              <w:numPr>
                <w:ilvl w:val="0"/>
                <w:numId w:val="29"/>
              </w:numPr>
              <w:rPr>
                <w:sz w:val="22"/>
                <w:szCs w:val="22"/>
              </w:rPr>
            </w:pPr>
            <w:r w:rsidRPr="00F46088">
              <w:rPr>
                <w:sz w:val="22"/>
                <w:szCs w:val="22"/>
              </w:rPr>
              <w:t xml:space="preserve">Review and test the process used by management to estimate pledges receivable </w:t>
            </w:r>
          </w:p>
          <w:p w:rsidR="001D40AF" w:rsidRPr="00F46088" w:rsidRDefault="001D40AF" w:rsidP="00DE63F7">
            <w:pPr>
              <w:pStyle w:val="Default"/>
              <w:numPr>
                <w:ilvl w:val="0"/>
                <w:numId w:val="29"/>
              </w:numPr>
              <w:rPr>
                <w:sz w:val="22"/>
                <w:szCs w:val="22"/>
              </w:rPr>
            </w:pPr>
            <w:r w:rsidRPr="00F46088">
              <w:rPr>
                <w:sz w:val="22"/>
                <w:szCs w:val="22"/>
              </w:rPr>
              <w:t xml:space="preserve">Review the ageing of pledges </w:t>
            </w:r>
          </w:p>
          <w:p w:rsidR="001D40AF" w:rsidRPr="00F46088" w:rsidRDefault="001D40AF" w:rsidP="00DE63F7">
            <w:pPr>
              <w:pStyle w:val="Default"/>
              <w:numPr>
                <w:ilvl w:val="0"/>
                <w:numId w:val="29"/>
              </w:numPr>
              <w:rPr>
                <w:sz w:val="22"/>
                <w:szCs w:val="22"/>
              </w:rPr>
            </w:pPr>
            <w:r w:rsidRPr="00F46088">
              <w:rPr>
                <w:sz w:val="22"/>
                <w:szCs w:val="22"/>
              </w:rPr>
              <w:t xml:space="preserve">Consider obtaining confirmation of unusual or significant pledges </w:t>
            </w:r>
          </w:p>
          <w:p w:rsidR="001D40AF" w:rsidRPr="00F46088" w:rsidRDefault="001D40AF" w:rsidP="00DE63F7">
            <w:pPr>
              <w:pStyle w:val="Default"/>
              <w:numPr>
                <w:ilvl w:val="0"/>
                <w:numId w:val="29"/>
              </w:numPr>
              <w:rPr>
                <w:sz w:val="22"/>
                <w:szCs w:val="22"/>
              </w:rPr>
            </w:pPr>
            <w:r w:rsidRPr="00F46088">
              <w:rPr>
                <w:sz w:val="22"/>
                <w:szCs w:val="22"/>
              </w:rPr>
              <w:t xml:space="preserve">Compare pledges receivable with subsequent receipt of donations </w:t>
            </w:r>
          </w:p>
          <w:p w:rsidR="001D40AF" w:rsidRPr="00F46088" w:rsidRDefault="001D40AF" w:rsidP="00DE63F7">
            <w:pPr>
              <w:pStyle w:val="Default"/>
              <w:numPr>
                <w:ilvl w:val="0"/>
                <w:numId w:val="29"/>
              </w:numPr>
              <w:rPr>
                <w:sz w:val="22"/>
                <w:szCs w:val="22"/>
              </w:rPr>
            </w:pPr>
            <w:r w:rsidRPr="00F46088">
              <w:rPr>
                <w:sz w:val="22"/>
                <w:szCs w:val="22"/>
              </w:rPr>
              <w:t>Determine whether the materialisation ratios used to estimate pledges receivable are reasonable</w:t>
            </w:r>
          </w:p>
        </w:tc>
      </w:tr>
      <w:tr w:rsidR="001D40AF" w:rsidRPr="00F46088" w:rsidTr="00DE63F7">
        <w:tc>
          <w:tcPr>
            <w:tcW w:w="1499" w:type="dxa"/>
          </w:tcPr>
          <w:p w:rsidR="001D40AF" w:rsidRPr="00F24948" w:rsidRDefault="001D40AF" w:rsidP="00DE63F7">
            <w:pPr>
              <w:pStyle w:val="Default"/>
              <w:rPr>
                <w:color w:val="808080" w:themeColor="background1" w:themeShade="80"/>
                <w:sz w:val="22"/>
                <w:szCs w:val="22"/>
              </w:rPr>
            </w:pPr>
            <w:r w:rsidRPr="00F24948">
              <w:rPr>
                <w:bCs/>
                <w:color w:val="808080" w:themeColor="background1" w:themeShade="80"/>
                <w:sz w:val="22"/>
                <w:szCs w:val="22"/>
              </w:rPr>
              <w:t>Contributions from grants or restricted income</w:t>
            </w:r>
          </w:p>
        </w:tc>
        <w:tc>
          <w:tcPr>
            <w:tcW w:w="8107" w:type="dxa"/>
          </w:tcPr>
          <w:p w:rsidR="001D40AF" w:rsidRPr="00F46088" w:rsidRDefault="001D40AF" w:rsidP="00DE63F7">
            <w:pPr>
              <w:pStyle w:val="Default"/>
              <w:numPr>
                <w:ilvl w:val="0"/>
                <w:numId w:val="30"/>
              </w:numPr>
              <w:rPr>
                <w:sz w:val="22"/>
                <w:szCs w:val="22"/>
              </w:rPr>
            </w:pPr>
            <w:r w:rsidRPr="00F46088">
              <w:rPr>
                <w:sz w:val="22"/>
                <w:szCs w:val="22"/>
              </w:rPr>
              <w:t xml:space="preserve">For evidence on the completeness assertion, examine grant applications and correspondence </w:t>
            </w:r>
          </w:p>
          <w:p w:rsidR="001D40AF" w:rsidRPr="00F46088" w:rsidRDefault="001D40AF" w:rsidP="00DE63F7">
            <w:pPr>
              <w:pStyle w:val="Default"/>
              <w:numPr>
                <w:ilvl w:val="0"/>
                <w:numId w:val="30"/>
              </w:numPr>
              <w:rPr>
                <w:sz w:val="22"/>
                <w:szCs w:val="22"/>
              </w:rPr>
            </w:pPr>
            <w:r w:rsidRPr="00F46088">
              <w:rPr>
                <w:sz w:val="22"/>
                <w:szCs w:val="22"/>
              </w:rPr>
              <w:t>Confirm grants received or receivable with grantor bodies</w:t>
            </w:r>
          </w:p>
        </w:tc>
      </w:tr>
    </w:tbl>
    <w:p w:rsidR="002E63BA" w:rsidRDefault="002E63BA" w:rsidP="000A4734">
      <w:pPr>
        <w:pStyle w:val="Default"/>
        <w:rPr>
          <w:sz w:val="20"/>
          <w:szCs w:val="20"/>
        </w:rPr>
      </w:pPr>
    </w:p>
    <w:sectPr w:rsidR="002E63BA" w:rsidSect="00CE77FF">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1D" w:rsidRPr="009F13DA" w:rsidRDefault="0027391D" w:rsidP="00486DAE">
      <w:pPr>
        <w:spacing w:after="0" w:line="240" w:lineRule="auto"/>
        <w:rPr>
          <w:rFonts w:ascii="Times New Roman" w:eastAsia="Times New Roman" w:hAnsi="Times New Roman"/>
          <w:sz w:val="20"/>
          <w:szCs w:val="20"/>
          <w:lang w:val="en-US"/>
        </w:rPr>
      </w:pPr>
      <w:r>
        <w:separator/>
      </w:r>
    </w:p>
  </w:endnote>
  <w:endnote w:type="continuationSeparator" w:id="0">
    <w:p w:rsidR="0027391D" w:rsidRPr="009F13DA" w:rsidRDefault="0027391D" w:rsidP="00486DAE">
      <w:pPr>
        <w:spacing w:after="0" w:line="240" w:lineRule="auto"/>
        <w:rPr>
          <w:rFonts w:ascii="Times New Roman" w:eastAsia="Times New Roman" w:hAnsi="Times New Roman"/>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79" w:rsidRPr="00252079" w:rsidRDefault="00252079" w:rsidP="00252079">
    <w:pPr>
      <w:pStyle w:val="Footer"/>
      <w:pBdr>
        <w:top w:val="thinThickSmallGap" w:sz="24" w:space="1" w:color="622423" w:themeColor="accent2" w:themeShade="7F"/>
      </w:pBdr>
      <w:rPr>
        <w:rFonts w:ascii="Times New Roman" w:hAnsi="Times New Roman" w:cs="Times New Roman"/>
        <w:color w:val="990033"/>
        <w:sz w:val="20"/>
        <w:szCs w:val="20"/>
      </w:rPr>
    </w:pPr>
    <w:r w:rsidRPr="00252079">
      <w:rPr>
        <w:rFonts w:ascii="Times New Roman" w:hAnsi="Times New Roman" w:cs="Times New Roman"/>
        <w:color w:val="808080" w:themeColor="background1" w:themeShade="80"/>
        <w:sz w:val="20"/>
        <w:szCs w:val="20"/>
      </w:rPr>
      <w:t xml:space="preserve">Page </w:t>
    </w:r>
    <w:r w:rsidR="008A70EB" w:rsidRPr="00252079">
      <w:rPr>
        <w:rFonts w:ascii="Times New Roman" w:hAnsi="Times New Roman" w:cs="Times New Roman"/>
        <w:color w:val="808080" w:themeColor="background1" w:themeShade="80"/>
        <w:sz w:val="20"/>
        <w:szCs w:val="20"/>
      </w:rPr>
      <w:fldChar w:fldCharType="begin"/>
    </w:r>
    <w:r w:rsidRPr="00252079">
      <w:rPr>
        <w:rFonts w:ascii="Times New Roman" w:hAnsi="Times New Roman" w:cs="Times New Roman"/>
        <w:color w:val="808080" w:themeColor="background1" w:themeShade="80"/>
        <w:sz w:val="20"/>
        <w:szCs w:val="20"/>
      </w:rPr>
      <w:instrText xml:space="preserve"> PAGE   \* MERGEFORMAT </w:instrText>
    </w:r>
    <w:r w:rsidR="008A70EB" w:rsidRPr="00252079">
      <w:rPr>
        <w:rFonts w:ascii="Times New Roman" w:hAnsi="Times New Roman" w:cs="Times New Roman"/>
        <w:color w:val="808080" w:themeColor="background1" w:themeShade="80"/>
        <w:sz w:val="20"/>
        <w:szCs w:val="20"/>
      </w:rPr>
      <w:fldChar w:fldCharType="separate"/>
    </w:r>
    <w:r w:rsidR="00FA5BA8">
      <w:rPr>
        <w:rFonts w:ascii="Times New Roman" w:hAnsi="Times New Roman" w:cs="Times New Roman"/>
        <w:noProof/>
        <w:color w:val="808080" w:themeColor="background1" w:themeShade="80"/>
        <w:sz w:val="20"/>
        <w:szCs w:val="20"/>
      </w:rPr>
      <w:t>9</w:t>
    </w:r>
    <w:r w:rsidR="008A70EB" w:rsidRPr="00252079">
      <w:rPr>
        <w:rFonts w:ascii="Times New Roman" w:hAnsi="Times New Roman" w:cs="Times New Roman"/>
        <w:color w:val="808080" w:themeColor="background1" w:themeShade="80"/>
        <w:sz w:val="20"/>
        <w:szCs w:val="20"/>
      </w:rPr>
      <w:fldChar w:fldCharType="end"/>
    </w:r>
    <w:r w:rsidRPr="00252079">
      <w:rPr>
        <w:rFonts w:ascii="Times New Roman" w:hAnsi="Times New Roman" w:cs="Times New Roman"/>
        <w:sz w:val="20"/>
        <w:szCs w:val="20"/>
      </w:rPr>
      <w:t xml:space="preserve"> </w:t>
    </w:r>
    <w:r w:rsidRPr="00252079">
      <w:rPr>
        <w:rFonts w:ascii="Times New Roman" w:hAnsi="Times New Roman" w:cs="Times New Roman"/>
        <w:color w:val="990033"/>
        <w:sz w:val="20"/>
        <w:szCs w:val="20"/>
      </w:rPr>
      <w:t>GAAS Insight No.12011 ‘Auditing Fundraising Revenue of Not-for-Profit Entities’</w:t>
    </w:r>
  </w:p>
  <w:p w:rsidR="00486DAE" w:rsidRPr="00486DAE" w:rsidRDefault="00486DAE" w:rsidP="00486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1D" w:rsidRPr="009F13DA" w:rsidRDefault="0027391D" w:rsidP="00486DAE">
      <w:pPr>
        <w:spacing w:after="0" w:line="240" w:lineRule="auto"/>
        <w:rPr>
          <w:rFonts w:ascii="Times New Roman" w:eastAsia="Times New Roman" w:hAnsi="Times New Roman"/>
          <w:sz w:val="20"/>
          <w:szCs w:val="20"/>
          <w:lang w:val="en-US"/>
        </w:rPr>
      </w:pPr>
      <w:r>
        <w:separator/>
      </w:r>
    </w:p>
  </w:footnote>
  <w:footnote w:type="continuationSeparator" w:id="0">
    <w:p w:rsidR="0027391D" w:rsidRPr="009F13DA" w:rsidRDefault="0027391D" w:rsidP="00486DAE">
      <w:pPr>
        <w:spacing w:after="0" w:line="240" w:lineRule="auto"/>
        <w:rPr>
          <w:rFonts w:ascii="Times New Roman" w:eastAsia="Times New Roman" w:hAnsi="Times New Roman"/>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AE" w:rsidRDefault="00486DAE">
    <w:pPr>
      <w:pStyle w:val="Header"/>
    </w:pPr>
    <w:r>
      <w:rPr>
        <w:noProof/>
        <w:lang w:eastAsia="en-AU"/>
      </w:rPr>
      <w:drawing>
        <wp:inline distT="0" distB="0" distL="0" distR="0">
          <wp:extent cx="1367790" cy="292735"/>
          <wp:effectExtent l="19050" t="0" r="3810" b="0"/>
          <wp:docPr id="1" name="Picture 1" descr="GAAP_Consult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P_Consulting_Logo"/>
                  <pic:cNvPicPr>
                    <a:picLocks noChangeAspect="1" noChangeArrowheads="1"/>
                  </pic:cNvPicPr>
                </pic:nvPicPr>
                <pic:blipFill>
                  <a:blip r:embed="rId1"/>
                  <a:srcRect/>
                  <a:stretch>
                    <a:fillRect/>
                  </a:stretch>
                </pic:blipFill>
                <pic:spPr bwMode="auto">
                  <a:xfrm>
                    <a:off x="0" y="0"/>
                    <a:ext cx="1367790" cy="2927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58E"/>
    <w:multiLevelType w:val="hybridMultilevel"/>
    <w:tmpl w:val="47226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2E7997"/>
    <w:multiLevelType w:val="hybridMultilevel"/>
    <w:tmpl w:val="D44861DC"/>
    <w:lvl w:ilvl="0" w:tplc="BE5A0AA2">
      <w:start w:val="1"/>
      <w:numFmt w:val="lowerLetter"/>
      <w:lvlText w:val="(%1)"/>
      <w:lvlJc w:val="left"/>
      <w:pPr>
        <w:ind w:left="35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7E5659"/>
    <w:multiLevelType w:val="hybridMultilevel"/>
    <w:tmpl w:val="D33082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4F82838"/>
    <w:multiLevelType w:val="hybridMultilevel"/>
    <w:tmpl w:val="394A5772"/>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4">
    <w:nsid w:val="1B5B25F6"/>
    <w:multiLevelType w:val="hybridMultilevel"/>
    <w:tmpl w:val="31063854"/>
    <w:lvl w:ilvl="0" w:tplc="BE5A0AA2">
      <w:start w:val="1"/>
      <w:numFmt w:val="lowerLetter"/>
      <w:lvlText w:val="(%1)"/>
      <w:lvlJc w:val="left"/>
      <w:pPr>
        <w:ind w:left="359" w:hanging="360"/>
      </w:pPr>
      <w:rPr>
        <w:rFonts w:hint="default"/>
      </w:rPr>
    </w:lvl>
    <w:lvl w:ilvl="1" w:tplc="0C090019" w:tentative="1">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5">
    <w:nsid w:val="1CE82D34"/>
    <w:multiLevelType w:val="hybridMultilevel"/>
    <w:tmpl w:val="DA20AB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713219"/>
    <w:multiLevelType w:val="hybridMultilevel"/>
    <w:tmpl w:val="B7FCE2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71082D"/>
    <w:multiLevelType w:val="hybridMultilevel"/>
    <w:tmpl w:val="9B1AC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810E07"/>
    <w:multiLevelType w:val="hybridMultilevel"/>
    <w:tmpl w:val="8B525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933B57"/>
    <w:multiLevelType w:val="hybridMultilevel"/>
    <w:tmpl w:val="9730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4032BA"/>
    <w:multiLevelType w:val="hybridMultilevel"/>
    <w:tmpl w:val="7E6C6A4C"/>
    <w:lvl w:ilvl="0" w:tplc="0C09000F">
      <w:start w:val="1"/>
      <w:numFmt w:val="decimal"/>
      <w:lvlText w:val="%1."/>
      <w:lvlJc w:val="left"/>
      <w:pPr>
        <w:ind w:left="35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72272A"/>
    <w:multiLevelType w:val="hybridMultilevel"/>
    <w:tmpl w:val="9F760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621528"/>
    <w:multiLevelType w:val="hybridMultilevel"/>
    <w:tmpl w:val="97CA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322554"/>
    <w:multiLevelType w:val="hybridMultilevel"/>
    <w:tmpl w:val="61BA8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78465E"/>
    <w:multiLevelType w:val="hybridMultilevel"/>
    <w:tmpl w:val="6F86D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4F1673"/>
    <w:multiLevelType w:val="hybridMultilevel"/>
    <w:tmpl w:val="FBC69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093BAD"/>
    <w:multiLevelType w:val="hybridMultilevel"/>
    <w:tmpl w:val="DAD6D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0F641FE"/>
    <w:multiLevelType w:val="hybridMultilevel"/>
    <w:tmpl w:val="DEBA0B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1840BCD"/>
    <w:multiLevelType w:val="hybridMultilevel"/>
    <w:tmpl w:val="EBD015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2D54F0"/>
    <w:multiLevelType w:val="hybridMultilevel"/>
    <w:tmpl w:val="6DE45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2C733D"/>
    <w:multiLevelType w:val="hybridMultilevel"/>
    <w:tmpl w:val="950ED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E38616C"/>
    <w:multiLevelType w:val="hybridMultilevel"/>
    <w:tmpl w:val="915ACD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E8F63A7"/>
    <w:multiLevelType w:val="hybridMultilevel"/>
    <w:tmpl w:val="946EE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D757368"/>
    <w:multiLevelType w:val="hybridMultilevel"/>
    <w:tmpl w:val="40F2D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45F410C"/>
    <w:multiLevelType w:val="hybridMultilevel"/>
    <w:tmpl w:val="7BA04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4F160E"/>
    <w:multiLevelType w:val="hybridMultilevel"/>
    <w:tmpl w:val="8BC81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56B51D3"/>
    <w:multiLevelType w:val="hybridMultilevel"/>
    <w:tmpl w:val="E598A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C129C4"/>
    <w:multiLevelType w:val="hybridMultilevel"/>
    <w:tmpl w:val="14D6B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5C2B83"/>
    <w:multiLevelType w:val="hybridMultilevel"/>
    <w:tmpl w:val="FE3E232E"/>
    <w:lvl w:ilvl="0" w:tplc="BE5A0AA2">
      <w:start w:val="1"/>
      <w:numFmt w:val="lowerLetter"/>
      <w:lvlText w:val="(%1)"/>
      <w:lvlJc w:val="left"/>
      <w:pPr>
        <w:ind w:left="35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9AB5C6C"/>
    <w:multiLevelType w:val="hybridMultilevel"/>
    <w:tmpl w:val="B7FCE2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EFE38F4"/>
    <w:multiLevelType w:val="hybridMultilevel"/>
    <w:tmpl w:val="65AC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3C79B8"/>
    <w:multiLevelType w:val="hybridMultilevel"/>
    <w:tmpl w:val="C5BC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0"/>
  </w:num>
  <w:num w:numId="3">
    <w:abstractNumId w:val="9"/>
  </w:num>
  <w:num w:numId="4">
    <w:abstractNumId w:val="4"/>
  </w:num>
  <w:num w:numId="5">
    <w:abstractNumId w:val="28"/>
  </w:num>
  <w:num w:numId="6">
    <w:abstractNumId w:val="1"/>
  </w:num>
  <w:num w:numId="7">
    <w:abstractNumId w:val="10"/>
  </w:num>
  <w:num w:numId="8">
    <w:abstractNumId w:val="3"/>
  </w:num>
  <w:num w:numId="9">
    <w:abstractNumId w:val="8"/>
  </w:num>
  <w:num w:numId="10">
    <w:abstractNumId w:val="25"/>
  </w:num>
  <w:num w:numId="11">
    <w:abstractNumId w:val="23"/>
  </w:num>
  <w:num w:numId="12">
    <w:abstractNumId w:val="22"/>
  </w:num>
  <w:num w:numId="13">
    <w:abstractNumId w:val="14"/>
  </w:num>
  <w:num w:numId="14">
    <w:abstractNumId w:val="21"/>
  </w:num>
  <w:num w:numId="15">
    <w:abstractNumId w:val="7"/>
  </w:num>
  <w:num w:numId="16">
    <w:abstractNumId w:val="0"/>
  </w:num>
  <w:num w:numId="17">
    <w:abstractNumId w:val="29"/>
  </w:num>
  <w:num w:numId="18">
    <w:abstractNumId w:val="2"/>
  </w:num>
  <w:num w:numId="19">
    <w:abstractNumId w:val="6"/>
  </w:num>
  <w:num w:numId="20">
    <w:abstractNumId w:val="31"/>
  </w:num>
  <w:num w:numId="21">
    <w:abstractNumId w:val="16"/>
  </w:num>
  <w:num w:numId="22">
    <w:abstractNumId w:val="20"/>
  </w:num>
  <w:num w:numId="23">
    <w:abstractNumId w:val="24"/>
  </w:num>
  <w:num w:numId="24">
    <w:abstractNumId w:val="27"/>
  </w:num>
  <w:num w:numId="25">
    <w:abstractNumId w:val="13"/>
  </w:num>
  <w:num w:numId="26">
    <w:abstractNumId w:val="15"/>
  </w:num>
  <w:num w:numId="27">
    <w:abstractNumId w:val="17"/>
  </w:num>
  <w:num w:numId="28">
    <w:abstractNumId w:val="12"/>
  </w:num>
  <w:num w:numId="29">
    <w:abstractNumId w:val="18"/>
  </w:num>
  <w:num w:numId="30">
    <w:abstractNumId w:val="5"/>
  </w:num>
  <w:num w:numId="31">
    <w:abstractNumId w:val="26"/>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0D5F7B"/>
    <w:rsid w:val="000432CA"/>
    <w:rsid w:val="000517A6"/>
    <w:rsid w:val="00081FAA"/>
    <w:rsid w:val="000A4734"/>
    <w:rsid w:val="000C4AE9"/>
    <w:rsid w:val="000C61C0"/>
    <w:rsid w:val="000D5F7B"/>
    <w:rsid w:val="0015528A"/>
    <w:rsid w:val="00155AC3"/>
    <w:rsid w:val="001705D4"/>
    <w:rsid w:val="001A1339"/>
    <w:rsid w:val="001B58D5"/>
    <w:rsid w:val="001D40AF"/>
    <w:rsid w:val="00252079"/>
    <w:rsid w:val="0027391D"/>
    <w:rsid w:val="002C6946"/>
    <w:rsid w:val="002E63BA"/>
    <w:rsid w:val="002E7F48"/>
    <w:rsid w:val="00306C96"/>
    <w:rsid w:val="003270F5"/>
    <w:rsid w:val="00341650"/>
    <w:rsid w:val="0038708E"/>
    <w:rsid w:val="00390E4C"/>
    <w:rsid w:val="003E6F5B"/>
    <w:rsid w:val="00481C4C"/>
    <w:rsid w:val="00486DAE"/>
    <w:rsid w:val="00495848"/>
    <w:rsid w:val="004F563B"/>
    <w:rsid w:val="005361C6"/>
    <w:rsid w:val="005720FF"/>
    <w:rsid w:val="005A1CFD"/>
    <w:rsid w:val="005D1D0B"/>
    <w:rsid w:val="006328FD"/>
    <w:rsid w:val="00642F03"/>
    <w:rsid w:val="00643107"/>
    <w:rsid w:val="00695C45"/>
    <w:rsid w:val="006B30C8"/>
    <w:rsid w:val="00700846"/>
    <w:rsid w:val="00751FD2"/>
    <w:rsid w:val="0079155B"/>
    <w:rsid w:val="007C5DFD"/>
    <w:rsid w:val="007F6B13"/>
    <w:rsid w:val="00813A08"/>
    <w:rsid w:val="0081522D"/>
    <w:rsid w:val="008755BB"/>
    <w:rsid w:val="008A70EB"/>
    <w:rsid w:val="008B168A"/>
    <w:rsid w:val="008F1E3E"/>
    <w:rsid w:val="00A00C2E"/>
    <w:rsid w:val="00A04B88"/>
    <w:rsid w:val="00A150EA"/>
    <w:rsid w:val="00A23E32"/>
    <w:rsid w:val="00A97A55"/>
    <w:rsid w:val="00B00CDF"/>
    <w:rsid w:val="00B25D8D"/>
    <w:rsid w:val="00B26915"/>
    <w:rsid w:val="00B508EE"/>
    <w:rsid w:val="00B560DE"/>
    <w:rsid w:val="00B92E70"/>
    <w:rsid w:val="00BA46A8"/>
    <w:rsid w:val="00C25C98"/>
    <w:rsid w:val="00C54E3F"/>
    <w:rsid w:val="00CC5EBE"/>
    <w:rsid w:val="00CE77FF"/>
    <w:rsid w:val="00D6624A"/>
    <w:rsid w:val="00DE39A0"/>
    <w:rsid w:val="00E11755"/>
    <w:rsid w:val="00E61538"/>
    <w:rsid w:val="00E71BE7"/>
    <w:rsid w:val="00E83287"/>
    <w:rsid w:val="00ED3A0B"/>
    <w:rsid w:val="00EF2651"/>
    <w:rsid w:val="00F2056D"/>
    <w:rsid w:val="00F24948"/>
    <w:rsid w:val="00F27959"/>
    <w:rsid w:val="00F46088"/>
    <w:rsid w:val="00F607EA"/>
    <w:rsid w:val="00F77FFB"/>
    <w:rsid w:val="00F82410"/>
    <w:rsid w:val="00FA5BA8"/>
    <w:rsid w:val="00FB2BE1"/>
    <w:rsid w:val="00FC49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5F7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D5F7B"/>
    <w:pPr>
      <w:spacing w:after="0" w:line="240" w:lineRule="auto"/>
    </w:pPr>
  </w:style>
  <w:style w:type="table" w:styleId="TableGrid">
    <w:name w:val="Table Grid"/>
    <w:basedOn w:val="TableNormal"/>
    <w:uiPriority w:val="59"/>
    <w:rsid w:val="003E6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C2E"/>
    <w:pPr>
      <w:ind w:left="720"/>
      <w:contextualSpacing/>
    </w:pPr>
  </w:style>
  <w:style w:type="character" w:styleId="Hyperlink">
    <w:name w:val="Hyperlink"/>
    <w:basedOn w:val="DefaultParagraphFont"/>
    <w:uiPriority w:val="99"/>
    <w:unhideWhenUsed/>
    <w:rsid w:val="00ED3A0B"/>
    <w:rPr>
      <w:color w:val="0000FF" w:themeColor="hyperlink"/>
      <w:u w:val="single"/>
    </w:rPr>
  </w:style>
  <w:style w:type="paragraph" w:styleId="Header">
    <w:name w:val="header"/>
    <w:basedOn w:val="Normal"/>
    <w:link w:val="HeaderChar"/>
    <w:uiPriority w:val="99"/>
    <w:unhideWhenUsed/>
    <w:rsid w:val="00486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DAE"/>
  </w:style>
  <w:style w:type="paragraph" w:styleId="Footer">
    <w:name w:val="footer"/>
    <w:basedOn w:val="Normal"/>
    <w:link w:val="FooterChar"/>
    <w:uiPriority w:val="99"/>
    <w:unhideWhenUsed/>
    <w:rsid w:val="00486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DAE"/>
  </w:style>
  <w:style w:type="paragraph" w:styleId="BalloonText">
    <w:name w:val="Balloon Text"/>
    <w:basedOn w:val="Normal"/>
    <w:link w:val="BalloonTextChar"/>
    <w:uiPriority w:val="99"/>
    <w:semiHidden/>
    <w:unhideWhenUsed/>
    <w:rsid w:val="00486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DAE"/>
    <w:rPr>
      <w:rFonts w:ascii="Tahoma" w:hAnsi="Tahoma" w:cs="Tahoma"/>
      <w:sz w:val="16"/>
      <w:szCs w:val="16"/>
    </w:rPr>
  </w:style>
  <w:style w:type="paragraph" w:styleId="BodyText">
    <w:name w:val="Body Text"/>
    <w:basedOn w:val="Normal"/>
    <w:link w:val="BodyTextChar"/>
    <w:semiHidden/>
    <w:rsid w:val="000A4734"/>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0A4734"/>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divs>
    <w:div w:id="507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ap.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lin@gaap.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4779D-9489-47F4-B86C-B6020079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Parker</dc:creator>
  <cp:lastModifiedBy>Colin Parker</cp:lastModifiedBy>
  <cp:revision>5</cp:revision>
  <dcterms:created xsi:type="dcterms:W3CDTF">2011-05-16T04:34:00Z</dcterms:created>
  <dcterms:modified xsi:type="dcterms:W3CDTF">2011-05-18T00:54:00Z</dcterms:modified>
</cp:coreProperties>
</file>